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附件2: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高频电刀采购需求</w:t>
      </w:r>
    </w:p>
    <w:p>
      <w:pPr>
        <w:pStyle w:val="2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一、商务需求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zh-TW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*1、售后服务要求：提供原厂质保不低于3年，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zh-TW" w:eastAsia="zh-CN" w:bidi="ar-SA"/>
        </w:rPr>
        <w:t>保修期内所有故障配件只换不修，更换配件均为全新原厂配件，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zh-TW" w:eastAsia="zh-TW" w:bidi="ar-SA"/>
        </w:rPr>
        <w:t>要求原厂盖章售后服务承诺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zh-TW" w:eastAsia="zh-CN" w:bidi="ar-SA"/>
        </w:rPr>
        <w:t>。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360" w:lineRule="auto"/>
        <w:jc w:val="both"/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*2、质保期内每年厂家至少提供两次预防性维护保养工作，提供质保期内巡视保养措施，每次保养后医院向医学工程部提供工单。（提供承诺函）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360" w:lineRule="auto"/>
        <w:jc w:val="both"/>
        <w:rPr>
          <w:rFonts w:hint="default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*3、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zh-TW" w:eastAsia="zh-CN" w:bidi="ar-SA"/>
        </w:rPr>
        <w:t>质保期内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zh-TW" w:eastAsia="zh-TW" w:bidi="ar-SA"/>
        </w:rPr>
        <w:t>如出现故障，接到报修电话后立即响应，并提出解决方案；如电话响应无法解决的，技术人员最迟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12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zh-TW" w:eastAsia="zh-TW" w:bidi="ar-SA"/>
        </w:rPr>
        <w:t>小时内到达现场维修，保证正常工作不受间断；如故障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48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zh-TW" w:eastAsia="zh-CN" w:bidi="ar-SA"/>
        </w:rPr>
        <w:t>小时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zh-TW" w:eastAsia="zh-TW" w:bidi="ar-SA"/>
        </w:rPr>
        <w:t>内不能修复的，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zh-TW" w:eastAsia="zh-CN" w:bidi="ar-SA"/>
        </w:rPr>
        <w:t>应无偿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zh-TW" w:eastAsia="zh-TW" w:bidi="ar-SA"/>
        </w:rPr>
        <w:t>提供备用机、备品备件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供院方使用。（提供承诺函）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4、供应商根据项目内容提供有针对性的培训方案，包括不限于培训时间、地点、目标、方式、内容、对象和设施。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5、针对本项目特点与供货期要求，供应商编制安装方案（包括但不限于进度计划、人员安排、人员管理措施、安装设备、现场维护等）。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6、供货要求：合同签订7个工作日内完成安装调试。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7、付款方式：合同签订设备到货安装完成并验收合格后付50%，半年后支付40%，质保到期后支付尾款10%。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default"/>
          <w:sz w:val="28"/>
          <w:szCs w:val="28"/>
          <w:lang w:val="en-US" w:eastAsia="zh-CN"/>
        </w:rPr>
        <w:t xml:space="preserve">技术参数 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1、仪器类型：Ⅰ类输出CF型，防除颤普通设备。可满足普外科、骨科、整形外科、皮肤科及口腔科等手术使用。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2、具有纯切、混切1、混切2、混切3、单极凝、双极电凝等多种工作模式。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3、输出功率0-350W可调。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4、智能化电脑主机，CPU闭环控制，采用标准插口，可以配合各种不同生产厂商的配件和耗材使用。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5、功率密度反馈技术，保证切割凝血质量。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6、带脚控、手控方式，可进行胸、腹等深部手术，并可配合腹腔镜、内窥镜进行腔内手术。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7、独立控制输出端口，确保操作者和病人安全使用。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8、控制面板为数码电子显示，按键调切，设置功率、应用模式、故障代码及报警指示，不同的工作模式以明确标记及颜色区分。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9、可配合各种内窥镜设备进行各种高频微创手术的切割、凝血功能。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10、具有自检及故障报警功能，输出的音量可调节。仪器表面及按键有防水功能，便于清洁消毒。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481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00" w:lineRule="auto"/>
      <w:ind w:firstLine="480" w:firstLineChars="200"/>
    </w:pPr>
    <w:rPr>
      <w:rFonts w:ascii="仿宋_GB2312" w:hAnsi="Times New Roman" w:eastAsia="仿宋_GB2312" w:cs="Times New Roman"/>
      <w:sz w:val="24"/>
      <w:szCs w:val="21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2024-03-12T07:55:44Z</dcterms:created>
  <dc:creator>Administrator</dc:creator>
  <cp:lastModifiedBy>^山猫闪电腿^</cp:lastModifiedBy>
  <dcterms:modified xsi:type="dcterms:W3CDTF">2024-03-12T07:55:52Z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41E1E8EFBB2D4F509CA07D6101D44517_12</vt:lpwstr>
  </property>
</Properties>
</file>