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0BE845">
      <w:pPr>
        <w:pStyle w:val="2"/>
        <w:ind w:left="0" w:leftChars="0" w:firstLine="0" w:firstLineChars="0"/>
        <w:jc w:val="both"/>
        <w:rPr>
          <w:rFonts w:hint="default"/>
          <w:b w:val="0"/>
          <w:bCs w:val="0"/>
          <w:sz w:val="28"/>
          <w:szCs w:val="28"/>
          <w:lang w:val="en-US" w:eastAsia="zh-CN"/>
        </w:rPr>
      </w:pPr>
      <w:r>
        <w:rPr>
          <w:rFonts w:hint="eastAsia"/>
          <w:b w:val="0"/>
          <w:bCs w:val="0"/>
          <w:sz w:val="28"/>
          <w:szCs w:val="28"/>
          <w:lang w:val="en-US" w:eastAsia="zh-CN"/>
        </w:rPr>
        <w:t>附件3：</w:t>
      </w:r>
    </w:p>
    <w:p w14:paraId="15D7D7FD">
      <w:pPr>
        <w:pStyle w:val="2"/>
        <w:ind w:left="0" w:leftChars="0" w:firstLine="0" w:firstLineChars="0"/>
        <w:jc w:val="center"/>
        <w:rPr>
          <w:rFonts w:hint="default"/>
          <w:b/>
          <w:bCs/>
          <w:sz w:val="28"/>
          <w:szCs w:val="28"/>
          <w:lang w:val="en-US" w:eastAsia="zh-CN"/>
        </w:rPr>
      </w:pPr>
      <w:r>
        <w:rPr>
          <w:rFonts w:hint="eastAsia"/>
          <w:b/>
          <w:bCs/>
          <w:sz w:val="28"/>
          <w:szCs w:val="28"/>
          <w:lang w:val="en-US" w:eastAsia="zh-CN"/>
        </w:rPr>
        <w:t>采购需求</w:t>
      </w:r>
    </w:p>
    <w:p w14:paraId="3131D966">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auto"/>
      </w:pPr>
      <w:r>
        <w:rPr>
          <w:rFonts w:hint="eastAsia" w:ascii="宋体" w:hAnsi="宋体" w:eastAsia="宋体" w:cs="宋体"/>
          <w:b/>
          <w:bCs/>
          <w:color w:val="333333"/>
          <w:kern w:val="0"/>
          <w:sz w:val="28"/>
          <w:szCs w:val="28"/>
          <w:lang w:val="en-US" w:eastAsia="zh-CN" w:bidi="ar"/>
        </w:rPr>
        <w:t xml:space="preserve">一、项目基本情况 </w:t>
      </w:r>
    </w:p>
    <w:p w14:paraId="4E74C4A1">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1、项目名称：芜湖市第一人民医院儿童医学中心及配套工程（二期）竣工结算一审审价服务；</w:t>
      </w:r>
    </w:p>
    <w:p w14:paraId="4D6AFF4D">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2、项目地点：芜湖市鸠江区赤铸山东路1号，芜湖市第一人民医院院区内。</w:t>
      </w:r>
    </w:p>
    <w:p w14:paraId="2177A835">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宋体" w:hAnsi="宋体" w:eastAsia="宋体" w:cs="宋体"/>
          <w:b w:val="0"/>
          <w:bCs/>
          <w:sz w:val="24"/>
          <w:szCs w:val="24"/>
          <w:highlight w:val="none"/>
          <w:lang w:val="en-US" w:eastAsia="zh-CN"/>
        </w:rPr>
      </w:pPr>
      <w:r>
        <w:rPr>
          <w:rFonts w:hint="eastAsia" w:ascii="宋体" w:hAnsi="宋体" w:eastAsia="宋体" w:cs="宋体"/>
          <w:b w:val="0"/>
          <w:bCs/>
          <w:sz w:val="24"/>
          <w:szCs w:val="24"/>
        </w:rPr>
        <w:t>3、</w:t>
      </w:r>
      <w:r>
        <w:rPr>
          <w:rFonts w:hint="eastAsia" w:ascii="宋体" w:hAnsi="宋体" w:eastAsia="宋体" w:cs="宋体"/>
          <w:b w:val="0"/>
          <w:bCs/>
          <w:sz w:val="24"/>
          <w:szCs w:val="24"/>
          <w:lang w:val="en-US" w:eastAsia="zh-CN"/>
        </w:rPr>
        <w:t>项目概况：本</w:t>
      </w:r>
      <w:r>
        <w:rPr>
          <w:rFonts w:hint="eastAsia" w:ascii="宋体" w:hAnsi="宋体" w:eastAsia="宋体" w:cs="宋体"/>
          <w:b w:val="0"/>
          <w:bCs/>
          <w:sz w:val="24"/>
          <w:szCs w:val="24"/>
          <w:highlight w:val="none"/>
          <w:lang w:val="en-US" w:eastAsia="zh-CN"/>
        </w:rPr>
        <w:t>项由市重点处代建的</w:t>
      </w:r>
      <w:r>
        <w:rPr>
          <w:rFonts w:hint="eastAsia" w:ascii="宋体" w:hAnsi="宋体" w:eastAsia="宋体" w:cs="宋体"/>
          <w:b w:val="0"/>
          <w:bCs/>
          <w:sz w:val="24"/>
          <w:szCs w:val="24"/>
          <w:lang w:val="en-US" w:eastAsia="zh-CN"/>
        </w:rPr>
        <w:t>儿童医学中心及配套工程（二期），主要为儿童医学中心工程及室外工程</w:t>
      </w:r>
      <w:r>
        <w:rPr>
          <w:rFonts w:hint="eastAsia"/>
          <w:b w:val="0"/>
          <w:bCs w:val="0"/>
          <w:sz w:val="24"/>
          <w:szCs w:val="24"/>
          <w:vertAlign w:val="baseline"/>
          <w:lang w:val="en-US" w:eastAsia="zh-CN"/>
        </w:rPr>
        <w:t>；</w:t>
      </w:r>
      <w:r>
        <w:rPr>
          <w:rFonts w:hint="eastAsia" w:ascii="宋体" w:hAnsi="宋体" w:eastAsia="宋体" w:cs="宋体"/>
          <w:b w:val="0"/>
          <w:bCs/>
          <w:sz w:val="24"/>
          <w:szCs w:val="24"/>
          <w:lang w:val="en-US" w:eastAsia="zh-CN"/>
        </w:rPr>
        <w:t>总包工程</w:t>
      </w:r>
      <w:r>
        <w:rPr>
          <w:rFonts w:hint="eastAsia" w:ascii="宋体" w:hAnsi="宋体" w:eastAsia="宋体" w:cs="宋体"/>
          <w:b w:val="0"/>
          <w:bCs/>
          <w:sz w:val="24"/>
          <w:szCs w:val="24"/>
          <w:highlight w:val="none"/>
          <w:lang w:val="en-US" w:eastAsia="zh-CN"/>
        </w:rPr>
        <w:t>中标合同价为4207.2万元，施工单位送审价为4130.43万元，建设单位送审价为4105万元</w:t>
      </w:r>
    </w:p>
    <w:p w14:paraId="5908AA8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二、服务内容</w:t>
      </w:r>
    </w:p>
    <w:p w14:paraId="372D190D">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lang w:val="en-US" w:eastAsia="zh-CN"/>
        </w:rPr>
        <w:t>对芜湖市第一人民医院儿童医学中心及配套工程（二期）竣工结算一审审价服务；</w:t>
      </w:r>
      <w:r>
        <w:rPr>
          <w:rFonts w:hint="eastAsia" w:ascii="宋体" w:hAnsi="宋体" w:eastAsia="宋体" w:cs="宋体"/>
          <w:b w:val="0"/>
          <w:bCs/>
          <w:sz w:val="24"/>
          <w:szCs w:val="24"/>
          <w:highlight w:val="none"/>
          <w:lang w:val="en-US" w:eastAsia="zh-CN"/>
        </w:rPr>
        <w:t xml:space="preserve">具体工作包括但不限于: </w:t>
      </w:r>
    </w:p>
    <w:p w14:paraId="1A37775E">
      <w:pPr>
        <w:keepNext w:val="0"/>
        <w:keepLines w:val="0"/>
        <w:pageBreakBefore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1、编制结算审价方案，明确审价工作目标、范围和重点，审价工作的组织及分工；</w:t>
      </w:r>
    </w:p>
    <w:p w14:paraId="67D7DB9C">
      <w:pPr>
        <w:keepNext w:val="0"/>
        <w:keepLines w:val="0"/>
        <w:pageBreakBefore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2、依据建设项目招标文件、投标文件、合同、工程结算书以及其他相关资料结合现场实际情况依法依规开展审价工作；</w:t>
      </w:r>
    </w:p>
    <w:p w14:paraId="302BE79F">
      <w:pPr>
        <w:keepNext w:val="0"/>
        <w:keepLines w:val="0"/>
        <w:pageBreakBefore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3、协调结算审价过程中争议问题；</w:t>
      </w:r>
    </w:p>
    <w:p w14:paraId="7026715E">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4、出具正式书面审价、审核意见。</w:t>
      </w:r>
    </w:p>
    <w:p w14:paraId="3D294D0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 xml:space="preserve">三、服务期限  </w:t>
      </w:r>
    </w:p>
    <w:p w14:paraId="5C0DC82D">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项目送审资料接收后60 个日历天出具一审意见书。</w:t>
      </w:r>
    </w:p>
    <w:p w14:paraId="44105F26">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 xml:space="preserve">四、总体要求： </w:t>
      </w:r>
    </w:p>
    <w:p w14:paraId="12836B66">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投标单位要依法提供咨询服务，执行工程审计等相关工作纪律、保密和廉政规定，不得泄露工程审计等相关服务过程中知悉的国家秘密、商业秘密，不得利用参与审计承揽业务或谋取其他利益，不得将审计工作中取得的材料用于其他无关的事项。</w:t>
      </w:r>
      <w:r>
        <w:rPr>
          <w:rFonts w:hint="default" w:ascii="宋体" w:hAnsi="宋体" w:eastAsia="宋体" w:cs="宋体"/>
          <w:b w:val="0"/>
          <w:bCs/>
          <w:sz w:val="24"/>
          <w:szCs w:val="24"/>
          <w:lang w:val="en-US" w:eastAsia="zh-CN"/>
        </w:rPr>
        <w:t xml:space="preserve"> </w:t>
      </w:r>
    </w:p>
    <w:p w14:paraId="32C44A9D">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宋体" w:hAnsi="宋体" w:eastAsia="宋体" w:cs="宋体"/>
          <w:b w:val="0"/>
          <w:bCs/>
          <w:sz w:val="24"/>
          <w:szCs w:val="24"/>
          <w:lang w:val="en-US" w:eastAsia="zh-CN"/>
        </w:rPr>
      </w:pPr>
      <w:r>
        <w:rPr>
          <w:rFonts w:hint="default" w:ascii="宋体" w:hAnsi="宋体" w:eastAsia="宋体" w:cs="宋体"/>
          <w:b w:val="0"/>
          <w:bCs/>
          <w:sz w:val="24"/>
          <w:szCs w:val="24"/>
          <w:lang w:val="en-US" w:eastAsia="zh-CN"/>
        </w:rPr>
        <w:t>2</w:t>
      </w:r>
      <w:r>
        <w:rPr>
          <w:rFonts w:hint="eastAsia" w:ascii="宋体" w:hAnsi="宋体" w:eastAsia="宋体" w:cs="宋体"/>
          <w:b w:val="0"/>
          <w:bCs/>
          <w:sz w:val="24"/>
          <w:szCs w:val="24"/>
          <w:lang w:val="en-US" w:eastAsia="zh-CN"/>
        </w:rPr>
        <w:t>、在工程审计等相关服务过程中，严格按照工程造价的相关法律法规、审计准则和采购人的工 作要求实施审计，对审计结果的全面性、真实性、合法性负责。</w:t>
      </w:r>
      <w:r>
        <w:rPr>
          <w:rFonts w:hint="default" w:ascii="宋体" w:hAnsi="宋体" w:eastAsia="宋体" w:cs="宋体"/>
          <w:b w:val="0"/>
          <w:bCs/>
          <w:sz w:val="24"/>
          <w:szCs w:val="24"/>
          <w:lang w:val="en-US" w:eastAsia="zh-CN"/>
        </w:rPr>
        <w:t xml:space="preserve"> </w:t>
      </w:r>
    </w:p>
    <w:p w14:paraId="65259A59">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宋体" w:hAnsi="宋体" w:eastAsia="宋体" w:cs="宋体"/>
          <w:b w:val="0"/>
          <w:bCs/>
          <w:sz w:val="24"/>
          <w:szCs w:val="24"/>
          <w:lang w:val="en-US" w:eastAsia="zh-CN"/>
        </w:rPr>
      </w:pPr>
      <w:r>
        <w:rPr>
          <w:rFonts w:hint="default" w:ascii="宋体" w:hAnsi="宋体" w:eastAsia="宋体" w:cs="宋体"/>
          <w:b w:val="0"/>
          <w:bCs/>
          <w:sz w:val="24"/>
          <w:szCs w:val="24"/>
          <w:lang w:val="en-US" w:eastAsia="zh-CN"/>
        </w:rPr>
        <w:t>3</w:t>
      </w:r>
      <w:r>
        <w:rPr>
          <w:rFonts w:hint="eastAsia" w:ascii="宋体" w:hAnsi="宋体" w:eastAsia="宋体" w:cs="宋体"/>
          <w:b w:val="0"/>
          <w:bCs/>
          <w:sz w:val="24"/>
          <w:szCs w:val="24"/>
          <w:lang w:val="en-US" w:eastAsia="zh-CN"/>
        </w:rPr>
        <w:t>、遵守国家相关法律法规，遵循执业准则，恪守职业道德，有完善的质量控制制度。</w:t>
      </w:r>
      <w:r>
        <w:rPr>
          <w:rFonts w:hint="default" w:ascii="宋体" w:hAnsi="宋体" w:eastAsia="宋体" w:cs="宋体"/>
          <w:b w:val="0"/>
          <w:bCs/>
          <w:sz w:val="24"/>
          <w:szCs w:val="24"/>
          <w:lang w:val="en-US" w:eastAsia="zh-CN"/>
        </w:rPr>
        <w:t xml:space="preserve"> </w:t>
      </w:r>
    </w:p>
    <w:p w14:paraId="622BFE01">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default" w:ascii="宋体" w:hAnsi="宋体" w:eastAsia="宋体" w:cs="宋体"/>
          <w:b w:val="0"/>
          <w:bCs/>
          <w:sz w:val="24"/>
          <w:szCs w:val="24"/>
          <w:lang w:val="en-US" w:eastAsia="zh-CN"/>
        </w:rPr>
        <w:t>4</w:t>
      </w:r>
      <w:r>
        <w:rPr>
          <w:rFonts w:hint="eastAsia" w:ascii="宋体" w:hAnsi="宋体" w:eastAsia="宋体" w:cs="宋体"/>
          <w:b w:val="0"/>
          <w:bCs/>
          <w:sz w:val="24"/>
          <w:szCs w:val="24"/>
          <w:lang w:val="en-US" w:eastAsia="zh-CN"/>
        </w:rPr>
        <w:t>、审计服务质量标准及廉政要求：执行中国建设工程造价管理协会发布的《建设工程造价咨询成果文件质量标准》 (编号：CECA/GC 7-2012)、《建设工程造价咨询成果文件质量标准》、《工程造价咨询企业管理办法》、《注册造价工程师管理办法》等相关规定。</w:t>
      </w:r>
    </w:p>
    <w:p w14:paraId="35D0922F">
      <w:pPr>
        <w:keepNext w:val="0"/>
        <w:keepLines w:val="0"/>
        <w:pageBreakBefore w:val="0"/>
        <w:numPr>
          <w:ilvl w:val="0"/>
          <w:numId w:val="0"/>
        </w:numPr>
        <w:kinsoku/>
        <w:wordWrap/>
        <w:overflowPunct/>
        <w:topLinePunct w:val="0"/>
        <w:autoSpaceDE/>
        <w:autoSpaceDN/>
        <w:bidi w:val="0"/>
        <w:adjustRightInd/>
        <w:snapToGrid/>
        <w:spacing w:line="440" w:lineRule="exact"/>
        <w:ind w:leftChars="0"/>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五、投标要求：</w:t>
      </w:r>
    </w:p>
    <w:p w14:paraId="4FACF61D">
      <w:pPr>
        <w:pStyle w:val="2"/>
        <w:keepNext w:val="0"/>
        <w:keepLines w:val="0"/>
        <w:pageBreakBefore w:val="0"/>
        <w:kinsoku/>
        <w:wordWrap/>
        <w:overflowPunct/>
        <w:topLinePunct w:val="0"/>
        <w:autoSpaceDE/>
        <w:autoSpaceDN/>
        <w:bidi w:val="0"/>
        <w:adjustRightInd/>
        <w:snapToGrid/>
        <w:spacing w:line="440" w:lineRule="exact"/>
        <w:ind w:left="0" w:leftChars="0" w:firstLine="240" w:firstLineChars="100"/>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（一）项目人员要求：</w:t>
      </w:r>
    </w:p>
    <w:p w14:paraId="56F7B1BB">
      <w:pPr>
        <w:keepNext w:val="0"/>
        <w:keepLines w:val="0"/>
        <w:pageBreakBefore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 xml:space="preserve"> *1、项目负责人须具备注册一级造价工程师（土木建筑专业），项目负责人必须是本单位注册人员，所提供的注册证书名称必须与投标单位名称一致， 并提供近三个月（指自开标之日起上推半年内任意三个月）社保证明。（投标文件中须提供相关证书扫描件） </w:t>
      </w:r>
    </w:p>
    <w:p w14:paraId="54377338">
      <w:pPr>
        <w:keepNext w:val="0"/>
        <w:keepLines w:val="0"/>
        <w:pageBreakBefore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*2、除项目负责人以外，</w:t>
      </w:r>
      <w:r>
        <w:rPr>
          <w:rFonts w:hint="eastAsia" w:ascii="宋体" w:hAnsi="宋体" w:eastAsia="宋体" w:cs="宋体"/>
          <w:b/>
          <w:bCs w:val="0"/>
          <w:sz w:val="24"/>
          <w:szCs w:val="24"/>
          <w:highlight w:val="none"/>
          <w:lang w:val="en-US" w:eastAsia="zh-CN"/>
        </w:rPr>
        <w:t>还需配备审价土</w:t>
      </w:r>
      <w:r>
        <w:rPr>
          <w:rFonts w:hint="eastAsia" w:ascii="宋体" w:hAnsi="宋体" w:eastAsia="宋体" w:cs="宋体"/>
          <w:b/>
          <w:bCs w:val="0"/>
          <w:sz w:val="24"/>
          <w:szCs w:val="24"/>
          <w:lang w:val="en-US" w:eastAsia="zh-CN"/>
        </w:rPr>
        <w:t>建</w:t>
      </w:r>
      <w:r>
        <w:rPr>
          <w:rFonts w:hint="eastAsia" w:ascii="宋体" w:hAnsi="宋体" w:eastAsia="宋体" w:cs="宋体"/>
          <w:b/>
          <w:bCs w:val="0"/>
          <w:sz w:val="24"/>
          <w:szCs w:val="24"/>
          <w:highlight w:val="none"/>
          <w:lang w:val="en-US" w:eastAsia="zh-CN"/>
        </w:rPr>
        <w:t>（</w:t>
      </w:r>
      <w:r>
        <w:rPr>
          <w:rFonts w:hint="eastAsia" w:ascii="宋体" w:hAnsi="宋体" w:eastAsia="宋体" w:cs="宋体"/>
          <w:b/>
          <w:bCs w:val="0"/>
          <w:sz w:val="24"/>
          <w:szCs w:val="24"/>
          <w:lang w:val="en-US" w:eastAsia="zh-CN"/>
        </w:rPr>
        <w:t>须具有一级注册造价工程师</w:t>
      </w:r>
      <w:r>
        <w:rPr>
          <w:rFonts w:hint="eastAsia" w:ascii="宋体" w:hAnsi="宋体" w:eastAsia="宋体" w:cs="宋体"/>
          <w:b/>
          <w:bCs w:val="0"/>
          <w:sz w:val="24"/>
          <w:szCs w:val="24"/>
          <w:highlight w:val="none"/>
          <w:lang w:val="en-US" w:eastAsia="zh-CN"/>
        </w:rPr>
        <w:t>）与安装（</w:t>
      </w:r>
      <w:r>
        <w:rPr>
          <w:rFonts w:hint="eastAsia" w:ascii="宋体" w:hAnsi="宋体" w:eastAsia="宋体" w:cs="宋体"/>
          <w:b/>
          <w:bCs w:val="0"/>
          <w:sz w:val="24"/>
          <w:szCs w:val="24"/>
          <w:lang w:val="en-US" w:eastAsia="zh-CN"/>
        </w:rPr>
        <w:t>须具有二级及以上注册造价工程师</w:t>
      </w:r>
      <w:r>
        <w:rPr>
          <w:rFonts w:hint="eastAsia" w:ascii="宋体" w:hAnsi="宋体" w:eastAsia="宋体" w:cs="宋体"/>
          <w:b/>
          <w:bCs w:val="0"/>
          <w:sz w:val="24"/>
          <w:szCs w:val="24"/>
          <w:highlight w:val="none"/>
          <w:lang w:val="en-US" w:eastAsia="zh-CN"/>
        </w:rPr>
        <w:t>）专业工程师各1人，</w:t>
      </w:r>
      <w:r>
        <w:rPr>
          <w:rFonts w:hint="eastAsia" w:ascii="宋体" w:hAnsi="宋体" w:eastAsia="宋体" w:cs="宋体"/>
          <w:b/>
          <w:bCs w:val="0"/>
          <w:sz w:val="24"/>
          <w:szCs w:val="24"/>
          <w:lang w:val="en-US" w:eastAsia="zh-CN"/>
        </w:rPr>
        <w:t xml:space="preserve">（提供人员身份证、相关证书复印件及近三个月（指自开标之日起上推半年内任意三个月）社保证明材料并加盖投标人公章）。 </w:t>
      </w:r>
    </w:p>
    <w:p w14:paraId="40E8685E">
      <w:pPr>
        <w:keepNext w:val="0"/>
        <w:keepLines w:val="0"/>
        <w:pageBreakBefore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（二）供应商及项目负责人业绩要求：</w:t>
      </w:r>
    </w:p>
    <w:p w14:paraId="69F9995F">
      <w:pPr>
        <w:keepNext w:val="0"/>
        <w:keepLines w:val="0"/>
        <w:pageBreakBefore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供应商及项目负责人具备同类业务（即工程结算审计）服务业绩的，提供业绩合同不少于2份，竣工结算定案表中审定价不低于4000万元，（响应文件中须提供业绩合同，成果文件原件扫描件，扫描件应能辨识买卖双方公章或合同专用章、标的信息、项目负责人信息；如业绩合同不能体现以上全部内容，可提供业绩合同甲方盖公章的证明原件扫描件。否则，视为无效标。供应商与其关联公司（单位负责人为同一人或者存在直接控股、管理关系的不同供应商）之间签订的合同，均不予认可。</w:t>
      </w:r>
    </w:p>
    <w:p w14:paraId="23A03ACE">
      <w:pPr>
        <w:pStyle w:val="2"/>
        <w:rPr>
          <w:rFonts w:hint="eastAsia"/>
          <w:lang w:val="en-US" w:eastAsia="zh-CN"/>
        </w:rPr>
      </w:pPr>
    </w:p>
    <w:p w14:paraId="3CCF3D89">
      <w:pPr>
        <w:keepNext w:val="0"/>
        <w:keepLines w:val="0"/>
        <w:pageBreakBefore w:val="0"/>
        <w:numPr>
          <w:ilvl w:val="0"/>
          <w:numId w:val="0"/>
        </w:numPr>
        <w:kinsoku/>
        <w:wordWrap/>
        <w:overflowPunct/>
        <w:topLinePunct w:val="0"/>
        <w:autoSpaceDE/>
        <w:autoSpaceDN/>
        <w:bidi w:val="0"/>
        <w:adjustRightInd/>
        <w:snapToGrid/>
        <w:spacing w:line="440" w:lineRule="exact"/>
        <w:ind w:leftChars="0"/>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六、结算要求：</w:t>
      </w:r>
    </w:p>
    <w:p w14:paraId="15EB5BBF">
      <w:pPr>
        <w:keepNext w:val="0"/>
        <w:keepLines w:val="0"/>
        <w:pageBreakBefore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cs="宋体"/>
          <w:b w:val="0"/>
          <w:bCs/>
          <w:sz w:val="24"/>
          <w:szCs w:val="24"/>
          <w:lang w:val="en-US" w:eastAsia="zh-CN"/>
        </w:rPr>
        <w:t>1、</w:t>
      </w:r>
      <w:r>
        <w:rPr>
          <w:rFonts w:hint="eastAsia" w:ascii="宋体" w:hAnsi="宋体" w:eastAsia="宋体" w:cs="宋体"/>
          <w:b w:val="0"/>
          <w:bCs/>
          <w:sz w:val="24"/>
          <w:szCs w:val="24"/>
          <w:lang w:val="en-US" w:eastAsia="zh-CN"/>
        </w:rPr>
        <w:t xml:space="preserve">服务费结算：若投标时报价为X%，即计费标准按照《关于重新制定工程造价咨询服务收费项目及标准的通知》（皖价服[2007]86 号文）*X%，基本收费、审核增减额及保底收费为同一折扣率。 </w:t>
      </w:r>
    </w:p>
    <w:p w14:paraId="2F7BBF44">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b/>
          <w:bCs/>
          <w:lang w:eastAsia="zh-CN"/>
        </w:rPr>
      </w:pPr>
      <w:r>
        <w:rPr>
          <w:rFonts w:hint="eastAsia" w:ascii="宋体" w:hAnsi="宋体" w:cs="宋体"/>
          <w:b w:val="0"/>
          <w:bCs/>
          <w:sz w:val="24"/>
          <w:szCs w:val="24"/>
          <w:lang w:val="en-US" w:eastAsia="zh-CN"/>
        </w:rPr>
        <w:t>2、</w:t>
      </w:r>
      <w:r>
        <w:rPr>
          <w:rFonts w:hint="eastAsia" w:ascii="宋体" w:hAnsi="宋体" w:eastAsia="宋体" w:cs="宋体"/>
          <w:b w:val="0"/>
          <w:bCs/>
          <w:sz w:val="24"/>
          <w:szCs w:val="24"/>
          <w:lang w:val="en-US" w:eastAsia="zh-CN"/>
        </w:rPr>
        <w:t>最终审计服务费用=</w:t>
      </w:r>
      <w:r>
        <w:rPr>
          <w:rFonts w:hint="eastAsia" w:ascii="宋体" w:hAnsi="宋体" w:eastAsia="宋体" w:cs="宋体"/>
          <w:b w:val="0"/>
          <w:bCs/>
          <w:sz w:val="24"/>
          <w:szCs w:val="24"/>
          <w:lang w:eastAsia="zh-CN"/>
        </w:rPr>
        <w:t>服务费=（送审价×</w:t>
      </w:r>
      <w:r>
        <w:rPr>
          <w:rFonts w:hint="eastAsia" w:ascii="宋体" w:hAnsi="宋体" w:eastAsia="宋体" w:cs="宋体"/>
          <w:b w:val="0"/>
          <w:bCs/>
          <w:sz w:val="24"/>
          <w:szCs w:val="24"/>
          <w:lang w:val="en-US" w:eastAsia="zh-CN"/>
        </w:rPr>
        <w:t>费率</w:t>
      </w:r>
      <w:r>
        <w:rPr>
          <w:rFonts w:hint="eastAsia" w:ascii="宋体" w:hAnsi="宋体" w:eastAsia="宋体" w:cs="宋体"/>
          <w:b w:val="0"/>
          <w:bCs/>
          <w:sz w:val="24"/>
          <w:szCs w:val="24"/>
          <w:lang w:eastAsia="zh-CN"/>
        </w:rPr>
        <w:t>+核减额×</w:t>
      </w:r>
      <w:r>
        <w:rPr>
          <w:rFonts w:hint="eastAsia" w:ascii="宋体" w:hAnsi="宋体" w:eastAsia="宋体" w:cs="宋体"/>
          <w:b w:val="0"/>
          <w:bCs/>
          <w:sz w:val="24"/>
          <w:szCs w:val="24"/>
          <w:lang w:val="en-US" w:eastAsia="zh-CN"/>
        </w:rPr>
        <w:t>5</w:t>
      </w:r>
      <w:r>
        <w:rPr>
          <w:rFonts w:hint="eastAsia"/>
        </w:rPr>
        <w:t>%</w:t>
      </w:r>
      <w:r>
        <w:rPr>
          <w:rFonts w:hint="eastAsia" w:ascii="宋体" w:hAnsi="宋体" w:eastAsia="宋体" w:cs="宋体"/>
          <w:b w:val="0"/>
          <w:bCs/>
          <w:sz w:val="24"/>
          <w:szCs w:val="24"/>
          <w:lang w:eastAsia="zh-CN"/>
        </w:rPr>
        <w:t>）×报价费率。（注：</w:t>
      </w:r>
      <w:r>
        <w:rPr>
          <w:rFonts w:hint="eastAsia" w:ascii="宋体" w:hAnsi="宋体" w:eastAsia="宋体" w:cs="宋体"/>
          <w:b w:val="0"/>
          <w:bCs/>
          <w:sz w:val="24"/>
          <w:szCs w:val="24"/>
          <w:lang w:val="en-US" w:eastAsia="zh-CN"/>
        </w:rPr>
        <w:t>此处</w:t>
      </w:r>
      <w:r>
        <w:rPr>
          <w:rFonts w:hint="eastAsia" w:ascii="宋体" w:hAnsi="宋体" w:eastAsia="宋体" w:cs="宋体"/>
          <w:b w:val="0"/>
          <w:bCs/>
          <w:sz w:val="24"/>
          <w:szCs w:val="24"/>
          <w:lang w:eastAsia="zh-CN"/>
        </w:rPr>
        <w:t>核减额</w:t>
      </w:r>
      <w:r>
        <w:rPr>
          <w:rFonts w:hint="eastAsia" w:ascii="宋体" w:hAnsi="宋体" w:eastAsia="宋体" w:cs="宋体"/>
          <w:b w:val="0"/>
          <w:bCs/>
          <w:sz w:val="24"/>
          <w:szCs w:val="24"/>
          <w:lang w:val="en-US" w:eastAsia="zh-CN"/>
        </w:rPr>
        <w:t>是</w:t>
      </w:r>
      <w:r>
        <w:rPr>
          <w:rFonts w:hint="eastAsia" w:ascii="宋体" w:hAnsi="宋体" w:eastAsia="宋体" w:cs="宋体"/>
          <w:b w:val="0"/>
          <w:bCs/>
          <w:sz w:val="24"/>
          <w:szCs w:val="24"/>
          <w:lang w:eastAsia="zh-CN"/>
        </w:rPr>
        <w:t>指项目送审总价额与审定后的总价额之间的差额）</w:t>
      </w:r>
      <w:r>
        <w:rPr>
          <w:rFonts w:hint="eastAsia" w:ascii="宋体" w:hAnsi="宋体" w:eastAsia="宋体" w:cs="宋体"/>
          <w:b w:val="0"/>
          <w:bCs/>
          <w:sz w:val="24"/>
          <w:szCs w:val="24"/>
          <w:lang w:val="en-US" w:eastAsia="zh-CN"/>
        </w:rPr>
        <w:t xml:space="preserve">。 </w:t>
      </w:r>
    </w:p>
    <w:p w14:paraId="1A5CEC70">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3、投标人投标报价应为完成该服务项目的所有费用，包含但不限于办公场地费、交通费、食宿 费、会务费、专家费、资料费以及其他为完成本服务项目产生的所有费用。本项目招标人不提供办公场所。 </w:t>
      </w:r>
    </w:p>
    <w:p w14:paraId="129BEEB9">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4、最终审价服务费结算费用不高于本项目最高投标限价 ，最终的审计服务费若超出预算价则按预算价结算。</w:t>
      </w:r>
    </w:p>
    <w:p w14:paraId="5CFA15A7">
      <w:pPr>
        <w:keepNext w:val="0"/>
        <w:keepLines w:val="0"/>
        <w:pageBreakBefore w:val="0"/>
        <w:numPr>
          <w:ilvl w:val="0"/>
          <w:numId w:val="0"/>
        </w:numPr>
        <w:kinsoku/>
        <w:wordWrap/>
        <w:overflowPunct/>
        <w:topLinePunct w:val="0"/>
        <w:autoSpaceDE/>
        <w:autoSpaceDN/>
        <w:bidi w:val="0"/>
        <w:adjustRightInd/>
        <w:snapToGrid/>
        <w:spacing w:line="440" w:lineRule="exact"/>
        <w:ind w:leftChars="0"/>
        <w:textAlignment w:val="auto"/>
        <w:rPr>
          <w:rFonts w:hint="eastAsia" w:ascii="宋体" w:hAnsi="宋体" w:eastAsia="宋体" w:cs="宋体"/>
          <w:b w:val="0"/>
          <w:bCs/>
          <w:sz w:val="24"/>
          <w:szCs w:val="24"/>
          <w:lang w:val="en-US" w:eastAsia="zh-CN"/>
        </w:rPr>
      </w:pPr>
      <w:r>
        <w:rPr>
          <w:rFonts w:hint="default" w:ascii="宋体" w:hAnsi="宋体" w:eastAsia="宋体" w:cs="宋体"/>
          <w:b w:val="0"/>
          <w:bCs/>
          <w:sz w:val="24"/>
          <w:szCs w:val="24"/>
          <w:lang w:val="en-US" w:eastAsia="zh-CN"/>
        </w:rPr>
        <w:t xml:space="preserve">   </w:t>
      </w:r>
      <w:r>
        <w:rPr>
          <w:rFonts w:hint="eastAsia" w:ascii="宋体" w:hAnsi="宋体" w:eastAsia="宋体" w:cs="宋体"/>
          <w:b w:val="0"/>
          <w:bCs/>
          <w:sz w:val="24"/>
          <w:szCs w:val="24"/>
          <w:lang w:val="en-US" w:eastAsia="zh-CN"/>
        </w:rPr>
        <w:t xml:space="preserve"> 5、非投标人原因导致服务周期延长，投标人不承担违约责任，投标人不得因此要求增加任何咨询服务费。</w:t>
      </w:r>
    </w:p>
    <w:p w14:paraId="02F7C8B3">
      <w:pPr>
        <w:keepNext w:val="0"/>
        <w:keepLines w:val="0"/>
        <w:pageBreakBefore w:val="0"/>
        <w:numPr>
          <w:ilvl w:val="0"/>
          <w:numId w:val="0"/>
        </w:numPr>
        <w:kinsoku/>
        <w:wordWrap/>
        <w:overflowPunct/>
        <w:topLinePunct w:val="0"/>
        <w:autoSpaceDE/>
        <w:autoSpaceDN/>
        <w:bidi w:val="0"/>
        <w:adjustRightInd/>
        <w:snapToGrid/>
        <w:spacing w:line="440" w:lineRule="exact"/>
        <w:ind w:leftChars="0"/>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七、本次招标需要回避单位：</w:t>
      </w:r>
    </w:p>
    <w:p w14:paraId="7EBA6B03">
      <w:pPr>
        <w:keepNext w:val="0"/>
        <w:keepLines w:val="0"/>
        <w:pageBreakBefore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回避单位：参与本项目的设计、施工、监理、招标代理、清单控制价编制及项目结算编制单位，与被审价单位或审价事项有利害关系或与该项目建设管理有业务关联的单位，应予以回避。</w:t>
      </w:r>
    </w:p>
    <w:p w14:paraId="5DE7F997">
      <w:pPr>
        <w:keepNext w:val="0"/>
        <w:keepLines w:val="0"/>
        <w:pageBreakBefore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规避单位不限于：中铁时代建筑设计院有限公司、安徽淼祥建设工程有限公司、安徽新芜项目管理咨询有限公司、马鞍山中振工程咨询有限公司、安徽安瑞工程咨询有限责任公司、浙江耀信工程咨询有限公司。</w:t>
      </w:r>
    </w:p>
    <w:p w14:paraId="2CAFC06A">
      <w:pPr>
        <w:pStyle w:val="2"/>
        <w:rPr>
          <w:rFonts w:hint="default"/>
          <w:lang w:val="en-US" w:eastAsia="zh-CN"/>
        </w:rPr>
      </w:pPr>
    </w:p>
    <w:p w14:paraId="0BC7CD0F">
      <w:pPr>
        <w:keepNext w:val="0"/>
        <w:keepLines w:val="0"/>
        <w:pageBreakBefore w:val="0"/>
        <w:numPr>
          <w:ilvl w:val="0"/>
          <w:numId w:val="0"/>
        </w:numPr>
        <w:kinsoku/>
        <w:wordWrap/>
        <w:overflowPunct/>
        <w:topLinePunct w:val="0"/>
        <w:autoSpaceDE/>
        <w:autoSpaceDN/>
        <w:bidi w:val="0"/>
        <w:adjustRightInd/>
        <w:snapToGrid/>
        <w:spacing w:line="440" w:lineRule="exact"/>
        <w:ind w:leftChars="0"/>
        <w:textAlignment w:val="auto"/>
        <w:rPr>
          <w:rFonts w:hint="default"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八、采购需求一览表</w:t>
      </w:r>
    </w:p>
    <w:tbl>
      <w:tblPr>
        <w:tblStyle w:val="6"/>
        <w:tblW w:w="9825" w:type="dxa"/>
        <w:tblInd w:w="-5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327"/>
        <w:gridCol w:w="1583"/>
        <w:gridCol w:w="3381"/>
        <w:gridCol w:w="1380"/>
        <w:gridCol w:w="1314"/>
      </w:tblGrid>
      <w:tr w14:paraId="11C3E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vAlign w:val="center"/>
          </w:tcPr>
          <w:p w14:paraId="77C8FC3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default"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序号</w:t>
            </w:r>
          </w:p>
        </w:tc>
        <w:tc>
          <w:tcPr>
            <w:tcW w:w="1327" w:type="dxa"/>
            <w:vAlign w:val="center"/>
          </w:tcPr>
          <w:p w14:paraId="68B7C85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名称</w:t>
            </w:r>
          </w:p>
        </w:tc>
        <w:tc>
          <w:tcPr>
            <w:tcW w:w="1583" w:type="dxa"/>
            <w:vAlign w:val="center"/>
          </w:tcPr>
          <w:p w14:paraId="25DDC5F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服务范围</w:t>
            </w:r>
          </w:p>
        </w:tc>
        <w:tc>
          <w:tcPr>
            <w:tcW w:w="3381" w:type="dxa"/>
            <w:vAlign w:val="center"/>
          </w:tcPr>
          <w:p w14:paraId="595C6DE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服务要求</w:t>
            </w:r>
          </w:p>
        </w:tc>
        <w:tc>
          <w:tcPr>
            <w:tcW w:w="1380" w:type="dxa"/>
            <w:vAlign w:val="center"/>
          </w:tcPr>
          <w:p w14:paraId="586C007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服务时间</w:t>
            </w:r>
          </w:p>
        </w:tc>
        <w:tc>
          <w:tcPr>
            <w:tcW w:w="1314" w:type="dxa"/>
            <w:vAlign w:val="center"/>
          </w:tcPr>
          <w:p w14:paraId="2B8F9DF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服务标准</w:t>
            </w:r>
          </w:p>
        </w:tc>
      </w:tr>
      <w:tr w14:paraId="6DEA6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vAlign w:val="center"/>
          </w:tcPr>
          <w:p w14:paraId="62969CAC">
            <w:pPr>
              <w:keepNext w:val="0"/>
              <w:keepLines w:val="0"/>
              <w:pageBreakBefore w:val="0"/>
              <w:widowControl w:val="0"/>
              <w:kinsoku/>
              <w:wordWrap/>
              <w:overflowPunct/>
              <w:topLinePunct w:val="0"/>
              <w:autoSpaceDE/>
              <w:autoSpaceDN/>
              <w:bidi w:val="0"/>
              <w:adjustRightInd/>
              <w:snapToGrid/>
              <w:spacing w:line="440" w:lineRule="exact"/>
              <w:ind w:firstLine="420" w:firstLineChars="200"/>
              <w:jc w:val="both"/>
              <w:textAlignment w:val="auto"/>
              <w:rPr>
                <w:rFonts w:hint="default"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w:t>
            </w:r>
          </w:p>
        </w:tc>
        <w:tc>
          <w:tcPr>
            <w:tcW w:w="1327" w:type="dxa"/>
            <w:vAlign w:val="center"/>
          </w:tcPr>
          <w:p w14:paraId="01AE3CDF">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芜湖市第一人民医院儿童医学中心及配套工程（二期）一审审价服务</w:t>
            </w:r>
          </w:p>
        </w:tc>
        <w:tc>
          <w:tcPr>
            <w:tcW w:w="1583" w:type="dxa"/>
            <w:vAlign w:val="center"/>
          </w:tcPr>
          <w:p w14:paraId="584C862C">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对芜湖市第一人民医院儿童医学中心及配套工程（二期）竣工结算一审审价服务</w:t>
            </w:r>
          </w:p>
        </w:tc>
        <w:tc>
          <w:tcPr>
            <w:tcW w:w="3381" w:type="dxa"/>
            <w:vAlign w:val="center"/>
          </w:tcPr>
          <w:p w14:paraId="09D04F9A">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1、编制结算审价方案，明确审价工作目标、范围和重点，审价工作的组织及分工； 2、依据建设项目招标文件、投标文件、合同、工程结算书以及其他 相关资料结 合现场实际情况依法依 规开展审价工作；3、协调结算审价过程中争议问题；4、出具正式书面审价、 审核意见。</w:t>
            </w:r>
          </w:p>
        </w:tc>
        <w:tc>
          <w:tcPr>
            <w:tcW w:w="1380" w:type="dxa"/>
            <w:vAlign w:val="center"/>
          </w:tcPr>
          <w:p w14:paraId="5A99CA11">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项目送审资料接收后60个日历天出具一审意见书</w:t>
            </w:r>
          </w:p>
        </w:tc>
        <w:tc>
          <w:tcPr>
            <w:tcW w:w="1314" w:type="dxa"/>
            <w:vAlign w:val="center"/>
          </w:tcPr>
          <w:p w14:paraId="23D86F85">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执行《建设 工程造价咨询成果文件质量标准》</w:t>
            </w:r>
            <w:r>
              <w:rPr>
                <w:rFonts w:hint="eastAsia" w:ascii="宋体" w:hAnsi="宋体" w:cs="宋体"/>
                <w:b w:val="0"/>
                <w:bCs/>
                <w:sz w:val="21"/>
                <w:szCs w:val="21"/>
                <w:lang w:val="en-US" w:eastAsia="zh-CN"/>
              </w:rPr>
              <w:t>、</w:t>
            </w:r>
            <w:r>
              <w:rPr>
                <w:rFonts w:hint="eastAsia" w:ascii="宋体" w:hAnsi="宋体" w:eastAsia="宋体" w:cs="宋体"/>
                <w:b w:val="0"/>
                <w:bCs/>
                <w:sz w:val="21"/>
                <w:szCs w:val="21"/>
                <w:lang w:val="en-US" w:eastAsia="zh-CN"/>
              </w:rPr>
              <w:t>《工程造价咨询企业管理办 法》等相关规定。</w:t>
            </w:r>
          </w:p>
        </w:tc>
      </w:tr>
    </w:tbl>
    <w:p w14:paraId="280A4BB9">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333333"/>
          <w:kern w:val="0"/>
          <w:sz w:val="28"/>
          <w:szCs w:val="28"/>
          <w:lang w:val="en-US" w:eastAsia="zh-CN" w:bidi="ar"/>
        </w:rPr>
      </w:pPr>
    </w:p>
    <w:p w14:paraId="1C292A88">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 xml:space="preserve">九、支付方式 </w:t>
      </w:r>
    </w:p>
    <w:p w14:paraId="03514E12">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eastAsia="zh-CN"/>
        </w:rPr>
        <w:t>项目竣工结算审计报告出具</w:t>
      </w:r>
      <w:r>
        <w:rPr>
          <w:rFonts w:hint="eastAsia" w:ascii="宋体" w:hAnsi="宋体" w:eastAsia="宋体" w:cs="宋体"/>
          <w:b w:val="0"/>
          <w:bCs/>
          <w:sz w:val="24"/>
          <w:szCs w:val="24"/>
          <w:lang w:val="en-US" w:eastAsia="zh-CN"/>
        </w:rPr>
        <w:t>并资料存档合规</w:t>
      </w:r>
      <w:r>
        <w:rPr>
          <w:rFonts w:hint="eastAsia" w:ascii="宋体" w:hAnsi="宋体" w:eastAsia="宋体" w:cs="宋体"/>
          <w:b w:val="0"/>
          <w:bCs/>
          <w:sz w:val="24"/>
          <w:szCs w:val="24"/>
          <w:lang w:eastAsia="zh-CN"/>
        </w:rPr>
        <w:t>后，支付项目审计服务费</w:t>
      </w:r>
      <w:bookmarkStart w:id="0" w:name="_GoBack"/>
      <w:bookmarkEnd w:id="0"/>
      <w:r>
        <w:rPr>
          <w:rFonts w:hint="eastAsia" w:ascii="宋体" w:hAnsi="宋体" w:eastAsia="宋体" w:cs="宋体"/>
          <w:b w:val="0"/>
          <w:bCs/>
          <w:sz w:val="24"/>
          <w:szCs w:val="24"/>
          <w:lang w:eastAsia="zh-CN"/>
        </w:rPr>
        <w:t>的100%。</w:t>
      </w:r>
    </w:p>
    <w:p w14:paraId="5C7833F0">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333333"/>
          <w:kern w:val="0"/>
          <w:sz w:val="28"/>
          <w:szCs w:val="28"/>
          <w:lang w:val="en-US" w:eastAsia="zh-CN" w:bidi="ar"/>
        </w:rPr>
      </w:pPr>
      <w:r>
        <w:rPr>
          <w:rFonts w:hint="eastAsia" w:ascii="宋体" w:hAnsi="宋体" w:eastAsia="宋体" w:cs="宋体"/>
          <w:b/>
          <w:bCs/>
          <w:color w:val="333333"/>
          <w:kern w:val="0"/>
          <w:sz w:val="28"/>
          <w:szCs w:val="28"/>
          <w:lang w:val="en-US" w:eastAsia="zh-CN" w:bidi="ar"/>
        </w:rPr>
        <w:t xml:space="preserve">十、履约要求 </w:t>
      </w:r>
    </w:p>
    <w:p w14:paraId="37788B75">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1、项目审价审结后，工程造价咨询企业应该按照《建设工咨询档案立卷标准》(DB34/T 1948-2013) 要求对竣工结算审核程造价资料进行归档，成果资料胶装一式九份，一院二份，市重点处六份、施工单位一份。 </w:t>
      </w:r>
    </w:p>
    <w:p w14:paraId="300927C2">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val="en-US" w:eastAsia="zh-CN"/>
        </w:rPr>
        <w:t xml:space="preserve">2、中标人无正当理由拒绝撤换工程造价专业人员的违约责任：须支付5000元违约金。 </w:t>
      </w:r>
    </w:p>
    <w:p w14:paraId="5FDC9566">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val="en-US" w:eastAsia="zh-CN"/>
        </w:rPr>
        <w:t xml:space="preserve">3、因中标人原因造成咨询期限延误，逾期完成咨询业务违约金的计算方法为：因中标人自身原因导致每延期一天，委托单位扣减审查服务咨询费用（酬金）的5‰;中标人原因造成咨询期限延误，逾期完成咨询业务违约金的上限：直至委托审查项目审查服务咨询费用（酬金）扣完为止。 </w:t>
      </w:r>
    </w:p>
    <w:p w14:paraId="3FB06553">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4、中标人对其提供的工程造价咨询成果负经济、法律责任；</w:t>
      </w:r>
    </w:p>
    <w:p w14:paraId="6CE93FCA">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val="en-US" w:eastAsia="zh-CN"/>
        </w:rPr>
        <w:t xml:space="preserve">5、关于中标人违约解除合同的特别约定：中标人在合同约定的期限内没有履行合同，委托人有权解除合同；因中标人违约解除合同的，关于已完咨询业务酬金结算和付款的约定: 不支付任何咨询费用。 </w:t>
      </w:r>
    </w:p>
    <w:p w14:paraId="5C0006C5">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val="en-US" w:eastAsia="zh-CN"/>
        </w:rPr>
        <w:t xml:space="preserve">6、委托人可根据该工程审价进展需要，要求中标人在一院内驻点开展竣工结算审价工作。 </w:t>
      </w:r>
    </w:p>
    <w:p w14:paraId="246AA294">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val="en-US" w:eastAsia="zh-CN"/>
        </w:rPr>
        <w:t xml:space="preserve">7、若因中标人单位或工作人员收受其他利益当事人的宴请、礼金、礼品或与其他利益当事人恶意串通，谋取私利，一经发现，委托人将立即无条件终止本合同并拒付咨询费，如对委托人造成经济及时间损失的，委托人将依法追究咨询人的经济责任及法律责任。 </w:t>
      </w:r>
    </w:p>
    <w:p w14:paraId="2EFC03B6">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 xml:space="preserve">8、本项目竣工结算审价工作及审价报告，应当接受审价机关审价监督和抽查审价。 </w:t>
      </w:r>
    </w:p>
    <w:p w14:paraId="7807C6BC">
      <w:r>
        <w:rPr>
          <w:rFonts w:hint="eastAsia" w:ascii="宋体" w:hAnsi="宋体" w:eastAsia="宋体" w:cs="宋体"/>
          <w:b/>
          <w:bCs/>
          <w:snapToGrid w:val="0"/>
          <w:sz w:val="28"/>
          <w:szCs w:val="28"/>
          <w:shd w:val="clear" w:color="auto" w:fill="auto"/>
          <w:lang w:val="en-US" w:eastAsia="zh-CN"/>
        </w:rPr>
        <w:t>备注：标注“*”参数为实质性参数，必须满足；否则，投标无效。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RhMjY1NWVkNjk5ZGEwMzk0OTBmNDg5MzgxNTQ3YjAifQ=="/>
  </w:docVars>
  <w:rsids>
    <w:rsidRoot w:val="00000000"/>
    <w:rsid w:val="088835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0"/>
    <w:pPr>
      <w:spacing w:after="120"/>
      <w:ind w:left="420" w:leftChars="200" w:firstLine="420" w:firstLineChars="200"/>
    </w:pPr>
    <w:rPr>
      <w:rFonts w:ascii="Times New Roman" w:hAnsi="Times New Roman"/>
      <w:color w:val="auto"/>
      <w:sz w:val="21"/>
      <w:szCs w:val="24"/>
    </w:rPr>
  </w:style>
  <w:style w:type="paragraph" w:styleId="3">
    <w:name w:val="Body Text Indent"/>
    <w:basedOn w:val="1"/>
    <w:next w:val="4"/>
    <w:qFormat/>
    <w:uiPriority w:val="0"/>
    <w:pPr>
      <w:ind w:firstLine="660"/>
    </w:pPr>
    <w:rPr>
      <w:rFonts w:ascii="宋体" w:hAnsi="宋体"/>
      <w:color w:val="000000"/>
      <w:sz w:val="24"/>
      <w:szCs w:val="20"/>
    </w:rPr>
  </w:style>
  <w:style w:type="paragraph" w:styleId="4">
    <w:name w:val="envelope return"/>
    <w:basedOn w:val="1"/>
    <w:qFormat/>
    <w:uiPriority w:val="0"/>
    <w:pPr>
      <w:snapToGrid w:val="0"/>
    </w:pPr>
    <w:rPr>
      <w:rFonts w:ascii="Arial" w:hAnsi="Arial"/>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2024-10-28T01:02:00Z</dcterms:created>
  <dc:creator>Administrator</dc:creator>
  <cp:lastModifiedBy>^山猫闪电腿^</cp:lastModifiedBy>
  <dcterms:modified xsi:type="dcterms:W3CDTF">2024-10-28T01:02:40Z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B12A2CA8D58B408283B0ADDC2C9D4706_12</vt:lpwstr>
  </property>
</Properties>
</file>