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70916">
      <w:pPr>
        <w:pStyle w:val="5"/>
        <w:ind w:left="0" w:leftChars="0" w:firstLine="0" w:firstLineChars="0"/>
        <w:jc w:val="both"/>
        <w:rPr>
          <w:rFonts w:hint="default"/>
          <w:b w:val="0"/>
          <w:bCs w:val="0"/>
          <w:sz w:val="28"/>
          <w:szCs w:val="28"/>
          <w:lang w:val="en-US" w:eastAsia="zh-CN"/>
        </w:rPr>
      </w:pPr>
      <w:r>
        <w:rPr>
          <w:rFonts w:hint="eastAsia"/>
          <w:b w:val="0"/>
          <w:bCs w:val="0"/>
          <w:sz w:val="28"/>
          <w:szCs w:val="28"/>
          <w:lang w:val="en-US" w:eastAsia="zh-CN"/>
        </w:rPr>
        <w:t>附件3：</w:t>
      </w:r>
    </w:p>
    <w:p w14:paraId="1EF0BAA4">
      <w:pPr>
        <w:pStyle w:val="5"/>
        <w:ind w:left="0" w:leftChars="0" w:firstLine="0" w:firstLineChars="0"/>
        <w:jc w:val="center"/>
        <w:rPr>
          <w:rFonts w:hint="default"/>
          <w:b/>
          <w:bCs/>
          <w:sz w:val="28"/>
          <w:szCs w:val="28"/>
          <w:lang w:val="en-US" w:eastAsia="zh-CN"/>
        </w:rPr>
      </w:pPr>
      <w:r>
        <w:rPr>
          <w:rFonts w:hint="eastAsia"/>
          <w:b/>
          <w:bCs/>
          <w:sz w:val="28"/>
          <w:szCs w:val="28"/>
          <w:lang w:val="en-US" w:eastAsia="zh-CN"/>
        </w:rPr>
        <w:t>采购需求</w:t>
      </w:r>
    </w:p>
    <w:p w14:paraId="7DB2777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宋体" w:hAnsi="宋体" w:eastAsia="宋体" w:cs="宋体"/>
          <w:b/>
          <w:bCs/>
          <w:color w:val="333333"/>
          <w:kern w:val="0"/>
          <w:sz w:val="28"/>
          <w:szCs w:val="28"/>
          <w:lang w:val="en-US" w:eastAsia="zh-CN" w:bidi="ar"/>
        </w:rPr>
        <w:t xml:space="preserve">一、基本情况 </w:t>
      </w:r>
    </w:p>
    <w:p w14:paraId="7CB67E3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1、项目名称：芜湖市第一人民医院儿童医学中心及配套工程供电及电蓄能设备安装工程二审审价服务；</w:t>
      </w:r>
    </w:p>
    <w:p w14:paraId="4D6AFF4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2、项目地点：芜湖市鸠江区赤铸山东路1号，芜湖市第一人民医院院区内。</w:t>
      </w:r>
    </w:p>
    <w:p w14:paraId="1A90FC9E">
      <w:p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3、</w:t>
      </w:r>
      <w:r>
        <w:rPr>
          <w:rFonts w:hint="eastAsia" w:ascii="宋体" w:hAnsi="宋体" w:eastAsia="宋体" w:cs="宋体"/>
          <w:b w:val="0"/>
          <w:bCs/>
          <w:sz w:val="24"/>
          <w:szCs w:val="24"/>
          <w:lang w:val="en-US" w:eastAsia="zh-CN"/>
        </w:rPr>
        <w:t>项目概况：</w:t>
      </w:r>
    </w:p>
    <w:p w14:paraId="55AEAC48">
      <w:p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2023年1月由市重点处招标并代建的该项目主要内容包括供电外线工程，电房二次土建工程，电房设备安装，既有电房设备提升改造，儿科楼蓄冷设备采购安装调试对接，能源控制管理系统采购安装调试对接，蓄热系统提升改造调试对接等。其中外线工程包含室外电缆井，管道和电缆等；电房设备安装工程含高低压开关柜，变压器，直流屏，母线及电缆等；既有电房提升改造含电房供配电设施改造，管道和电缆，现有蓄热设备提升改造调试对接等工程。</w:t>
      </w:r>
    </w:p>
    <w:p w14:paraId="47BC1673">
      <w:p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4、</w:t>
      </w:r>
      <w:r>
        <w:rPr>
          <w:rFonts w:hint="eastAsia" w:ascii="宋体" w:hAnsi="宋体" w:eastAsia="宋体" w:cs="宋体"/>
          <w:b w:val="0"/>
          <w:bCs/>
          <w:sz w:val="24"/>
          <w:szCs w:val="24"/>
          <w:lang w:val="en-US" w:eastAsia="zh-CN"/>
        </w:rPr>
        <w:t xml:space="preserve">中标价为756.32万元，施工单位送审价格为 756.08万元，一审审定价为730.83万元。现要求对该工程进行复审审价并出具审价报告。 </w:t>
      </w:r>
    </w:p>
    <w:p w14:paraId="6ECC33A1">
      <w:pPr>
        <w:spacing w:line="360" w:lineRule="auto"/>
        <w:ind w:firstLine="480" w:firstLineChars="200"/>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5</w:t>
      </w:r>
      <w:r>
        <w:rPr>
          <w:rFonts w:hint="eastAsia" w:ascii="宋体" w:hAnsi="宋体" w:eastAsia="宋体" w:cs="宋体"/>
          <w:b w:val="0"/>
          <w:bCs/>
          <w:sz w:val="24"/>
          <w:szCs w:val="24"/>
          <w:lang w:val="en-US" w:eastAsia="zh-CN"/>
        </w:rPr>
        <w:t>、最高限价：按照附表的收费标准。</w:t>
      </w:r>
    </w:p>
    <w:p w14:paraId="3F5E6621">
      <w:pPr>
        <w:spacing w:line="360" w:lineRule="auto"/>
        <w:ind w:firstLine="480" w:firstLineChars="20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w:t>
      </w:r>
    </w:p>
    <w:p w14:paraId="52C3B46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333333"/>
          <w:kern w:val="0"/>
          <w:sz w:val="28"/>
          <w:szCs w:val="28"/>
          <w:lang w:val="en-US" w:eastAsia="zh-CN" w:bidi="ar"/>
        </w:rPr>
      </w:pPr>
      <w:r>
        <w:rPr>
          <w:rFonts w:hint="eastAsia" w:ascii="宋体" w:hAnsi="宋体" w:eastAsia="宋体" w:cs="宋体"/>
          <w:b/>
          <w:bCs/>
          <w:color w:val="333333"/>
          <w:kern w:val="0"/>
          <w:sz w:val="28"/>
          <w:szCs w:val="28"/>
          <w:lang w:val="en-US" w:eastAsia="zh-CN" w:bidi="ar"/>
        </w:rPr>
        <w:t>二、服务内容</w:t>
      </w:r>
    </w:p>
    <w:tbl>
      <w:tblPr>
        <w:tblStyle w:val="7"/>
        <w:tblW w:w="10470" w:type="dxa"/>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618"/>
        <w:gridCol w:w="3375"/>
        <w:gridCol w:w="1905"/>
        <w:gridCol w:w="1875"/>
      </w:tblGrid>
      <w:tr w14:paraId="11C3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97" w:type="dxa"/>
            <w:vAlign w:val="center"/>
          </w:tcPr>
          <w:p w14:paraId="77C8FC3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序号</w:t>
            </w:r>
          </w:p>
        </w:tc>
        <w:tc>
          <w:tcPr>
            <w:tcW w:w="2618" w:type="dxa"/>
            <w:vAlign w:val="center"/>
          </w:tcPr>
          <w:p w14:paraId="68B7C8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服务范围</w:t>
            </w:r>
          </w:p>
        </w:tc>
        <w:tc>
          <w:tcPr>
            <w:tcW w:w="3375" w:type="dxa"/>
            <w:vAlign w:val="center"/>
          </w:tcPr>
          <w:p w14:paraId="595C6D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服务要求</w:t>
            </w:r>
          </w:p>
        </w:tc>
        <w:tc>
          <w:tcPr>
            <w:tcW w:w="1905" w:type="dxa"/>
            <w:vAlign w:val="center"/>
          </w:tcPr>
          <w:p w14:paraId="586C00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服务时间</w:t>
            </w:r>
          </w:p>
        </w:tc>
        <w:tc>
          <w:tcPr>
            <w:tcW w:w="1875" w:type="dxa"/>
            <w:vAlign w:val="center"/>
          </w:tcPr>
          <w:p w14:paraId="2B8F9D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服务标准</w:t>
            </w:r>
          </w:p>
        </w:tc>
      </w:tr>
      <w:tr w14:paraId="6DEA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62969C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2618" w:type="dxa"/>
            <w:vAlign w:val="center"/>
          </w:tcPr>
          <w:p w14:paraId="01AE3C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芜湖市第一人民医院儿童医学中心及配套工程供电及电蓄能设备安装工程二审审价服务</w:t>
            </w:r>
          </w:p>
        </w:tc>
        <w:tc>
          <w:tcPr>
            <w:tcW w:w="3375" w:type="dxa"/>
            <w:vAlign w:val="center"/>
          </w:tcPr>
          <w:p w14:paraId="09D04F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1、编制结算审价方案，明确审价工作目标、范围和重点，审价工作的 组织及分工; 2、依据建设项目招标文件、投标文件、合同、工程结算书、一审报告以及其他相关资料结合现场实际情况依法依规开展审价 工作； 3、协调结算审价过程中争议问题；4、出具正式书面审价、审核意见。</w:t>
            </w:r>
          </w:p>
        </w:tc>
        <w:tc>
          <w:tcPr>
            <w:tcW w:w="1905" w:type="dxa"/>
            <w:vAlign w:val="center"/>
          </w:tcPr>
          <w:p w14:paraId="5A99CA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项目送审资料接收后30个日历天出具复审意见书</w:t>
            </w:r>
          </w:p>
        </w:tc>
        <w:tc>
          <w:tcPr>
            <w:tcW w:w="1875" w:type="dxa"/>
            <w:vAlign w:val="center"/>
          </w:tcPr>
          <w:p w14:paraId="23D86F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执行《建设 工程造价咨询成果文件质量标准》、《工程造价咨询企业管理办法》等相关规定。</w:t>
            </w:r>
          </w:p>
        </w:tc>
      </w:tr>
    </w:tbl>
    <w:p w14:paraId="04E595C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w:t>
      </w:r>
    </w:p>
    <w:p w14:paraId="6AEC1A35">
      <w:pPr>
        <w:keepNext w:val="0"/>
        <w:keepLines w:val="0"/>
        <w:pageBreakBefore w:val="0"/>
        <w:widowControl/>
        <w:numPr>
          <w:ilvl w:val="0"/>
          <w:numId w:val="1"/>
        </w:numPr>
        <w:suppressLineNumbers w:val="0"/>
        <w:kinsoku/>
        <w:wordWrap/>
        <w:overflowPunct/>
        <w:topLinePunct w:val="0"/>
        <w:autoSpaceDE/>
        <w:autoSpaceDN/>
        <w:bidi w:val="0"/>
        <w:adjustRightInd/>
        <w:snapToGrid/>
        <w:spacing w:line="440" w:lineRule="exact"/>
        <w:jc w:val="left"/>
        <w:textAlignment w:val="auto"/>
        <w:rPr>
          <w:rFonts w:hint="eastAsia" w:ascii="宋体" w:hAnsi="宋体" w:cs="宋体"/>
          <w:b/>
          <w:bCs/>
          <w:color w:val="333333"/>
          <w:kern w:val="0"/>
          <w:sz w:val="28"/>
          <w:szCs w:val="28"/>
          <w:lang w:val="en-US" w:eastAsia="zh-CN" w:bidi="ar"/>
        </w:rPr>
      </w:pPr>
      <w:r>
        <w:rPr>
          <w:rFonts w:hint="eastAsia" w:ascii="宋体" w:hAnsi="宋体" w:cs="宋体"/>
          <w:b/>
          <w:bCs/>
          <w:color w:val="333333"/>
          <w:kern w:val="0"/>
          <w:sz w:val="28"/>
          <w:szCs w:val="28"/>
          <w:lang w:val="en-US" w:eastAsia="zh-CN" w:bidi="ar"/>
        </w:rPr>
        <w:t>总体要求：</w:t>
      </w:r>
    </w:p>
    <w:p w14:paraId="481961F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1、投标单位要依法提供咨询服务，执行工程复审等相关工作纪律、保密和廉政规定，不得泄露工程复审等相关服务过程中知悉的国家秘密、商业秘密，不得利用参与审计承揽业务或谋取 其他利益，不得将审计工作中取得的材料用于其他无关的事项。</w:t>
      </w:r>
      <w:r>
        <w:rPr>
          <w:rFonts w:hint="default" w:ascii="宋体" w:hAnsi="宋体" w:eastAsia="宋体" w:cs="宋体"/>
          <w:b w:val="0"/>
          <w:bCs/>
          <w:sz w:val="24"/>
          <w:szCs w:val="24"/>
          <w:lang w:val="en-US" w:eastAsia="zh-CN"/>
        </w:rPr>
        <w:t xml:space="preserve"> </w:t>
      </w:r>
    </w:p>
    <w:p w14:paraId="6218961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2</w:t>
      </w:r>
      <w:r>
        <w:rPr>
          <w:rFonts w:hint="eastAsia" w:ascii="宋体" w:hAnsi="宋体" w:eastAsia="宋体" w:cs="宋体"/>
          <w:b w:val="0"/>
          <w:bCs/>
          <w:sz w:val="24"/>
          <w:szCs w:val="24"/>
          <w:lang w:val="en-US" w:eastAsia="zh-CN"/>
        </w:rPr>
        <w:t>、在工程复审等相关服务过程中，严格按照工程造价的相关法律法规、审计准则和采购人的工作要求实施审计，对审计结果的全面性、真实性、合法性负责。</w:t>
      </w:r>
      <w:r>
        <w:rPr>
          <w:rFonts w:hint="default" w:ascii="宋体" w:hAnsi="宋体" w:eastAsia="宋体" w:cs="宋体"/>
          <w:b w:val="0"/>
          <w:bCs/>
          <w:sz w:val="24"/>
          <w:szCs w:val="24"/>
          <w:lang w:val="en-US" w:eastAsia="zh-CN"/>
        </w:rPr>
        <w:t xml:space="preserve"> </w:t>
      </w:r>
    </w:p>
    <w:p w14:paraId="0E110AE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3</w:t>
      </w:r>
      <w:r>
        <w:rPr>
          <w:rFonts w:hint="eastAsia" w:ascii="宋体" w:hAnsi="宋体" w:eastAsia="宋体" w:cs="宋体"/>
          <w:b w:val="0"/>
          <w:bCs/>
          <w:sz w:val="24"/>
          <w:szCs w:val="24"/>
          <w:lang w:val="en-US" w:eastAsia="zh-CN"/>
        </w:rPr>
        <w:t>、遵守国家相关法律法规，遵循执业准则，恪守职业道德，有完善的质量控制制度。</w:t>
      </w:r>
      <w:r>
        <w:rPr>
          <w:rFonts w:hint="default" w:ascii="宋体" w:hAnsi="宋体" w:eastAsia="宋体" w:cs="宋体"/>
          <w:b w:val="0"/>
          <w:bCs/>
          <w:sz w:val="24"/>
          <w:szCs w:val="24"/>
          <w:lang w:val="en-US" w:eastAsia="zh-CN"/>
        </w:rPr>
        <w:t xml:space="preserve"> </w:t>
      </w:r>
    </w:p>
    <w:p w14:paraId="7AEF4E2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cs="宋体"/>
          <w:b/>
          <w:bCs/>
          <w:color w:val="333333"/>
          <w:kern w:val="0"/>
          <w:sz w:val="28"/>
          <w:szCs w:val="28"/>
          <w:lang w:val="en-US" w:eastAsia="zh-CN" w:bidi="ar"/>
        </w:rPr>
      </w:pPr>
      <w:r>
        <w:rPr>
          <w:rFonts w:hint="default" w:ascii="宋体" w:hAnsi="宋体" w:eastAsia="宋体" w:cs="宋体"/>
          <w:b w:val="0"/>
          <w:bCs/>
          <w:sz w:val="24"/>
          <w:szCs w:val="24"/>
          <w:lang w:val="en-US" w:eastAsia="zh-CN"/>
        </w:rPr>
        <w:t>4</w:t>
      </w:r>
      <w:r>
        <w:rPr>
          <w:rFonts w:hint="eastAsia" w:ascii="宋体" w:hAnsi="宋体" w:eastAsia="宋体" w:cs="宋体"/>
          <w:b w:val="0"/>
          <w:bCs/>
          <w:sz w:val="24"/>
          <w:szCs w:val="24"/>
          <w:lang w:val="en-US" w:eastAsia="zh-CN"/>
        </w:rPr>
        <w:t>、审计质量及廉政要求：执行《建设工程造价咨询成果文件质量标准》、《工程造价咨询企业管理办法》、《注册造价工程师管理办法》等相关规定。</w:t>
      </w:r>
    </w:p>
    <w:p w14:paraId="7231270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333333"/>
          <w:kern w:val="0"/>
          <w:sz w:val="28"/>
          <w:szCs w:val="28"/>
          <w:lang w:val="en-US" w:eastAsia="zh-CN" w:bidi="ar"/>
        </w:rPr>
      </w:pPr>
      <w:r>
        <w:rPr>
          <w:rFonts w:hint="eastAsia" w:ascii="宋体" w:hAnsi="宋体" w:cs="宋体"/>
          <w:b/>
          <w:bCs/>
          <w:color w:val="333333"/>
          <w:kern w:val="0"/>
          <w:sz w:val="28"/>
          <w:szCs w:val="28"/>
          <w:lang w:val="en-US" w:eastAsia="zh-CN" w:bidi="ar"/>
        </w:rPr>
        <w:t>四、履约</w:t>
      </w:r>
      <w:r>
        <w:rPr>
          <w:rFonts w:hint="eastAsia" w:ascii="宋体" w:hAnsi="宋体" w:eastAsia="宋体" w:cs="宋体"/>
          <w:b/>
          <w:bCs/>
          <w:color w:val="333333"/>
          <w:kern w:val="0"/>
          <w:sz w:val="28"/>
          <w:szCs w:val="28"/>
          <w:lang w:val="en-US" w:eastAsia="zh-CN" w:bidi="ar"/>
        </w:rPr>
        <w:t xml:space="preserve">要求： </w:t>
      </w:r>
    </w:p>
    <w:p w14:paraId="373E3379">
      <w:pPr>
        <w:spacing w:line="360" w:lineRule="auto"/>
        <w:ind w:firstLine="480" w:firstLineChars="200"/>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1</w:t>
      </w:r>
      <w:r>
        <w:rPr>
          <w:rFonts w:hint="eastAsia" w:ascii="宋体" w:hAnsi="宋体" w:eastAsia="宋体" w:cs="宋体"/>
          <w:b w:val="0"/>
          <w:bCs/>
          <w:sz w:val="24"/>
          <w:szCs w:val="24"/>
          <w:lang w:val="en-US" w:eastAsia="zh-CN"/>
        </w:rPr>
        <w:t xml:space="preserve">、工程造价咨询企业工作人员要依法审价和提供咨询服务，执行工程审价等相关工作纪律、保密和廉政规定，对工程审价等相关服务过程中知悉的国家秘密、商业秘密不得泄露，不得利用参与审价承揽业务或谋取其他利益。 </w:t>
      </w:r>
    </w:p>
    <w:p w14:paraId="2B3BBA27">
      <w:pPr>
        <w:spacing w:line="360" w:lineRule="auto"/>
        <w:ind w:firstLine="480" w:firstLineChars="200"/>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2</w:t>
      </w:r>
      <w:r>
        <w:rPr>
          <w:rFonts w:hint="eastAsia" w:ascii="宋体" w:hAnsi="宋体" w:eastAsia="宋体" w:cs="宋体"/>
          <w:b w:val="0"/>
          <w:bCs/>
          <w:sz w:val="24"/>
          <w:szCs w:val="24"/>
          <w:lang w:val="en-US" w:eastAsia="zh-CN"/>
        </w:rPr>
        <w:t xml:space="preserve">、在工程审价等相关服务过程中，严格按照工程造价的相关法律法规、审价准则和采购人的工作要求实施审价，对其审价结果的全面性、真实性、合法性负责。 </w:t>
      </w:r>
    </w:p>
    <w:p w14:paraId="2C3C130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highlight w:val="none"/>
          <w:lang w:eastAsia="zh-CN"/>
        </w:rPr>
      </w:pPr>
      <w:r>
        <w:rPr>
          <w:rFonts w:hint="eastAsia" w:ascii="宋体" w:hAnsi="宋体" w:cs="宋体"/>
          <w:b w:val="0"/>
          <w:bCs/>
          <w:sz w:val="24"/>
          <w:szCs w:val="24"/>
          <w:lang w:val="en-US" w:eastAsia="zh-CN"/>
        </w:rPr>
        <w:t>3</w:t>
      </w:r>
      <w:r>
        <w:rPr>
          <w:rFonts w:hint="eastAsia" w:ascii="宋体" w:hAnsi="宋体" w:eastAsia="宋体" w:cs="宋体"/>
          <w:b w:val="0"/>
          <w:bCs/>
          <w:sz w:val="24"/>
          <w:szCs w:val="24"/>
          <w:lang w:val="en-US" w:eastAsia="zh-CN"/>
        </w:rPr>
        <w:t>、项目审价审结后，工程造价咨询企业应该按照《建设工咨询档案立卷标准》(DB34/T 1948-2013) 要求对竣工结算审核程造价资料进行归档。 成果资料</w:t>
      </w:r>
      <w:r>
        <w:rPr>
          <w:rFonts w:hint="eastAsia" w:ascii="宋体" w:hAnsi="宋体" w:eastAsia="宋体" w:cs="宋体"/>
          <w:b/>
          <w:bCs w:val="0"/>
          <w:sz w:val="24"/>
          <w:szCs w:val="24"/>
          <w:highlight w:val="none"/>
          <w:lang w:val="en-US" w:eastAsia="zh-CN"/>
        </w:rPr>
        <w:t>胶装一式九份，重点处四份，一院三份，施工单位二份。</w:t>
      </w:r>
      <w:r>
        <w:rPr>
          <w:rFonts w:hint="eastAsia" w:ascii="宋体" w:hAnsi="宋体" w:eastAsia="宋体" w:cs="宋体"/>
          <w:b w:val="0"/>
          <w:bCs/>
          <w:sz w:val="24"/>
          <w:szCs w:val="24"/>
          <w:highlight w:val="none"/>
          <w:lang w:val="en-US" w:eastAsia="zh-CN"/>
        </w:rPr>
        <w:t xml:space="preserve"> </w:t>
      </w:r>
    </w:p>
    <w:p w14:paraId="7A6C9794">
      <w:pPr>
        <w:spacing w:line="360" w:lineRule="auto"/>
        <w:ind w:firstLine="480" w:firstLineChars="200"/>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4</w:t>
      </w:r>
      <w:r>
        <w:rPr>
          <w:rFonts w:hint="eastAsia" w:ascii="宋体" w:hAnsi="宋体" w:eastAsia="宋体" w:cs="宋体"/>
          <w:b w:val="0"/>
          <w:bCs/>
          <w:sz w:val="24"/>
          <w:szCs w:val="24"/>
          <w:lang w:val="en-US" w:eastAsia="zh-CN"/>
        </w:rPr>
        <w:t xml:space="preserve">、中标人无正当理由拒绝撤换工程造价专业人员的违约责任：须支付2000元违约金。 </w:t>
      </w:r>
    </w:p>
    <w:p w14:paraId="5C7E5B7B">
      <w:pPr>
        <w:spacing w:line="360" w:lineRule="auto"/>
        <w:ind w:firstLine="480" w:firstLineChars="200"/>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5</w:t>
      </w:r>
      <w:r>
        <w:rPr>
          <w:rFonts w:hint="eastAsia" w:ascii="宋体" w:hAnsi="宋体" w:eastAsia="宋体" w:cs="宋体"/>
          <w:b w:val="0"/>
          <w:bCs/>
          <w:sz w:val="24"/>
          <w:szCs w:val="24"/>
          <w:lang w:val="en-US" w:eastAsia="zh-CN"/>
        </w:rPr>
        <w:t xml:space="preserve">、因中标人原因造成咨询期限延误，逾期完成咨询业务违约金的计算方法为：因中标人自身原因导致每延期一天，委托单位扣减审查服务咨询费用（酬金）的5‰ ;中标人原因造成咨询期限延误，逾期完成咨询业务违约金的上限：直至委托审查项目审查服务咨询费用（酬金）扣完为止。 </w:t>
      </w:r>
    </w:p>
    <w:p w14:paraId="5E3F026B">
      <w:pPr>
        <w:spacing w:line="360" w:lineRule="auto"/>
        <w:ind w:firstLine="480" w:firstLineChars="200"/>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6</w:t>
      </w:r>
      <w:r>
        <w:rPr>
          <w:rFonts w:hint="eastAsia" w:ascii="宋体" w:hAnsi="宋体" w:eastAsia="宋体" w:cs="宋体"/>
          <w:b w:val="0"/>
          <w:bCs/>
          <w:sz w:val="24"/>
          <w:szCs w:val="24"/>
          <w:lang w:val="en-US" w:eastAsia="zh-CN"/>
        </w:rPr>
        <w:t xml:space="preserve">、中标人对其提供的工程造价咨询成果负经济、法律责任；造价咨询单位出具的工程造价咨询业务报告误差率须控制在±3%以内，如误差较大，建设单位有权拒绝支付合同款项,如给委托人带来损失的，视情节轻重，可向咨询单位按合同咨询服务费的10%至30%进行索赔。 </w:t>
      </w:r>
    </w:p>
    <w:p w14:paraId="08857ED9">
      <w:pPr>
        <w:spacing w:line="360" w:lineRule="auto"/>
        <w:ind w:firstLine="480" w:firstLineChars="200"/>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7</w:t>
      </w:r>
      <w:r>
        <w:rPr>
          <w:rFonts w:hint="eastAsia" w:ascii="宋体" w:hAnsi="宋体" w:eastAsia="宋体" w:cs="宋体"/>
          <w:b w:val="0"/>
          <w:bCs/>
          <w:sz w:val="24"/>
          <w:szCs w:val="24"/>
          <w:lang w:val="en-US" w:eastAsia="zh-CN"/>
        </w:rPr>
        <w:t xml:space="preserve">、关于中标人违约解除合同的特别约定：中标人在合同约定的期限内没有履行合同，委托人有权解除合同;因中标人违约解除合同的，关于已完咨询业务酬金结算和付款的约定:不支付任何咨询费用。 </w:t>
      </w:r>
    </w:p>
    <w:p w14:paraId="7A0FD9FE">
      <w:pPr>
        <w:spacing w:line="360" w:lineRule="auto"/>
        <w:ind w:firstLine="480" w:firstLineChars="200"/>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8</w:t>
      </w:r>
      <w:r>
        <w:rPr>
          <w:rFonts w:hint="eastAsia" w:ascii="宋体" w:hAnsi="宋体" w:eastAsia="宋体" w:cs="宋体"/>
          <w:b w:val="0"/>
          <w:bCs/>
          <w:sz w:val="24"/>
          <w:szCs w:val="24"/>
          <w:lang w:val="en-US" w:eastAsia="zh-CN"/>
        </w:rPr>
        <w:t xml:space="preserve">、委托人可根据该工程审价进展需要，要求投标人在一院经开院区内驻点开展竣工结算审价工作。 </w:t>
      </w:r>
    </w:p>
    <w:p w14:paraId="1DF2200E">
      <w:pPr>
        <w:spacing w:line="360" w:lineRule="auto"/>
        <w:ind w:firstLine="480" w:firstLineChars="200"/>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9</w:t>
      </w:r>
      <w:r>
        <w:rPr>
          <w:rFonts w:hint="eastAsia" w:ascii="宋体" w:hAnsi="宋体" w:eastAsia="宋体" w:cs="宋体"/>
          <w:b w:val="0"/>
          <w:bCs/>
          <w:sz w:val="24"/>
          <w:szCs w:val="24"/>
          <w:lang w:val="en-US" w:eastAsia="zh-CN"/>
        </w:rPr>
        <w:t xml:space="preserve">、若因中标人单位或工作人员收受其他利益当事人的宴请、礼金、礼品或与其他利益当事人恶意串通，谋取私利，一经发现，委托人将立即无条件终止本合同并拒付咨询费，如对委托人造成经济及时间损失的，委托人将依法追究咨询人的经济责任及法律责任。 </w:t>
      </w:r>
    </w:p>
    <w:p w14:paraId="1708C678">
      <w:pPr>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w:t>
      </w:r>
      <w:r>
        <w:rPr>
          <w:rFonts w:hint="eastAsia" w:ascii="宋体" w:hAnsi="宋体" w:cs="宋体"/>
          <w:b w:val="0"/>
          <w:bCs/>
          <w:sz w:val="24"/>
          <w:szCs w:val="24"/>
          <w:lang w:val="en-US" w:eastAsia="zh-CN"/>
        </w:rPr>
        <w:t>0</w:t>
      </w:r>
      <w:r>
        <w:rPr>
          <w:rFonts w:hint="eastAsia" w:ascii="宋体" w:hAnsi="宋体" w:eastAsia="宋体" w:cs="宋体"/>
          <w:b w:val="0"/>
          <w:bCs/>
          <w:sz w:val="24"/>
          <w:szCs w:val="24"/>
          <w:lang w:val="en-US" w:eastAsia="zh-CN"/>
        </w:rPr>
        <w:t xml:space="preserve">、本项目竣工结算审价工作及审价报告，应当接受审价机关审价监督和抽查审价。 </w:t>
      </w:r>
    </w:p>
    <w:p w14:paraId="7EF458EC">
      <w:pPr>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w:t>
      </w:r>
      <w:r>
        <w:rPr>
          <w:rFonts w:hint="eastAsia" w:ascii="宋体" w:hAnsi="宋体" w:cs="宋体"/>
          <w:b w:val="0"/>
          <w:bCs/>
          <w:sz w:val="24"/>
          <w:szCs w:val="24"/>
          <w:lang w:val="en-US" w:eastAsia="zh-CN"/>
        </w:rPr>
        <w:t>1</w:t>
      </w:r>
      <w:r>
        <w:rPr>
          <w:rFonts w:hint="eastAsia" w:ascii="宋体" w:hAnsi="宋体" w:eastAsia="宋体" w:cs="宋体"/>
          <w:b w:val="0"/>
          <w:bCs/>
          <w:sz w:val="24"/>
          <w:szCs w:val="24"/>
          <w:lang w:val="en-US" w:eastAsia="zh-CN"/>
        </w:rPr>
        <w:t xml:space="preserve">、工程审减额超过 10%以上部分的造价咨询费用及核增咨询费用由施工单位承担，其咨询费用按照发包人（或其主管部门）支付给其中标人的咨询费用计算方法和标准计算。 </w:t>
      </w:r>
    </w:p>
    <w:p w14:paraId="67D72F77">
      <w:p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r>
        <w:rPr>
          <w:rFonts w:hint="eastAsia" w:ascii="宋体" w:hAnsi="宋体" w:cs="宋体"/>
          <w:b w:val="0"/>
          <w:bCs/>
          <w:sz w:val="24"/>
          <w:szCs w:val="24"/>
          <w:lang w:val="en-US" w:eastAsia="zh-CN"/>
        </w:rPr>
        <w:t>2</w:t>
      </w:r>
      <w:r>
        <w:rPr>
          <w:rFonts w:hint="eastAsia" w:ascii="宋体" w:hAnsi="宋体" w:eastAsia="宋体" w:cs="宋体"/>
          <w:b w:val="0"/>
          <w:bCs/>
          <w:sz w:val="24"/>
          <w:szCs w:val="24"/>
          <w:lang w:val="en-US" w:eastAsia="zh-CN"/>
        </w:rPr>
        <w:t xml:space="preserve">、中标人在接收到市一院移交的项目竣工结算资料后60个日历天内，完成竣工结算审价工作，并出具竣工结算审价报告。 </w:t>
      </w:r>
    </w:p>
    <w:p w14:paraId="21DCD022">
      <w:pPr>
        <w:spacing w:line="360" w:lineRule="auto"/>
        <w:ind w:firstLine="480" w:firstLineChars="20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r>
        <w:rPr>
          <w:rFonts w:hint="eastAsia" w:ascii="宋体" w:hAnsi="宋体" w:cs="宋体"/>
          <w:b w:val="0"/>
          <w:bCs/>
          <w:sz w:val="24"/>
          <w:szCs w:val="24"/>
          <w:lang w:val="en-US" w:eastAsia="zh-CN"/>
        </w:rPr>
        <w:t>3</w:t>
      </w:r>
      <w:r>
        <w:rPr>
          <w:rFonts w:hint="eastAsia" w:ascii="宋体" w:hAnsi="宋体" w:eastAsia="宋体" w:cs="宋体"/>
          <w:b w:val="0"/>
          <w:bCs/>
          <w:sz w:val="24"/>
          <w:szCs w:val="24"/>
          <w:lang w:val="en-US" w:eastAsia="zh-CN"/>
        </w:rPr>
        <w:t>、</w:t>
      </w:r>
      <w:r>
        <w:rPr>
          <w:rFonts w:hint="default" w:ascii="宋体" w:hAnsi="宋体" w:eastAsia="宋体" w:cs="宋体"/>
          <w:b w:val="0"/>
          <w:bCs/>
          <w:sz w:val="24"/>
          <w:szCs w:val="24"/>
          <w:lang w:val="en-US" w:eastAsia="zh-CN"/>
        </w:rPr>
        <w:t>供应商须承诺成交后根据采购人需求，2小时内响应并及时处理。若因采购人需求须抵达现场的，成交单位不得以任何理由拒绝到场。</w:t>
      </w:r>
    </w:p>
    <w:p w14:paraId="2D1D98BC">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color w:val="333333"/>
          <w:kern w:val="0"/>
          <w:sz w:val="28"/>
          <w:szCs w:val="28"/>
          <w:lang w:val="en-US" w:eastAsia="zh-CN" w:bidi="ar"/>
        </w:rPr>
      </w:pPr>
      <w:r>
        <w:rPr>
          <w:rFonts w:hint="eastAsia" w:ascii="宋体" w:hAnsi="宋体" w:cs="宋体"/>
          <w:b/>
          <w:bCs/>
          <w:color w:val="333333"/>
          <w:kern w:val="0"/>
          <w:sz w:val="28"/>
          <w:szCs w:val="28"/>
          <w:lang w:val="en-US" w:eastAsia="zh-CN" w:bidi="ar"/>
        </w:rPr>
        <w:t>五</w:t>
      </w:r>
      <w:r>
        <w:rPr>
          <w:rFonts w:hint="eastAsia" w:ascii="宋体" w:hAnsi="宋体" w:eastAsia="宋体" w:cs="宋体"/>
          <w:b/>
          <w:bCs/>
          <w:color w:val="333333"/>
          <w:kern w:val="0"/>
          <w:sz w:val="28"/>
          <w:szCs w:val="28"/>
          <w:lang w:val="en-US" w:eastAsia="zh-CN" w:bidi="ar"/>
        </w:rPr>
        <w:t>、</w:t>
      </w:r>
      <w:r>
        <w:rPr>
          <w:rFonts w:hint="eastAsia" w:ascii="宋体" w:hAnsi="宋体" w:cs="宋体"/>
          <w:b/>
          <w:bCs/>
          <w:color w:val="333333"/>
          <w:kern w:val="0"/>
          <w:sz w:val="28"/>
          <w:szCs w:val="28"/>
          <w:lang w:val="en-US" w:eastAsia="zh-CN" w:bidi="ar"/>
        </w:rPr>
        <w:t>人员</w:t>
      </w:r>
      <w:r>
        <w:rPr>
          <w:rFonts w:hint="eastAsia" w:ascii="宋体" w:hAnsi="宋体" w:eastAsia="宋体" w:cs="宋体"/>
          <w:b/>
          <w:bCs/>
          <w:color w:val="333333"/>
          <w:kern w:val="0"/>
          <w:sz w:val="28"/>
          <w:szCs w:val="28"/>
          <w:lang w:val="en-US" w:eastAsia="zh-CN" w:bidi="ar"/>
        </w:rPr>
        <w:t>要求：</w:t>
      </w:r>
    </w:p>
    <w:p w14:paraId="5D08A4BC">
      <w:pPr>
        <w:pStyle w:val="5"/>
        <w:keepNext w:val="0"/>
        <w:keepLines w:val="0"/>
        <w:pageBreakBefore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val="0"/>
          <w:sz w:val="24"/>
          <w:szCs w:val="24"/>
          <w:lang w:val="en-US" w:eastAsia="zh-CN"/>
        </w:rPr>
      </w:pPr>
      <w:r>
        <w:rPr>
          <w:rFonts w:hint="eastAsia" w:ascii="宋体" w:hAnsi="宋体" w:cs="宋体"/>
          <w:b/>
          <w:bCs w:val="0"/>
          <w:kern w:val="2"/>
          <w:sz w:val="24"/>
          <w:szCs w:val="24"/>
          <w:lang w:val="en-US" w:eastAsia="zh-CN" w:bidi="ar-SA"/>
        </w:rPr>
        <w:t>*</w:t>
      </w:r>
      <w:r>
        <w:rPr>
          <w:rFonts w:hint="eastAsia" w:ascii="宋体" w:hAnsi="宋体" w:eastAsia="宋体" w:cs="宋体"/>
          <w:b/>
          <w:bCs w:val="0"/>
          <w:kern w:val="2"/>
          <w:sz w:val="24"/>
          <w:szCs w:val="24"/>
          <w:lang w:val="en-US" w:eastAsia="zh-CN" w:bidi="ar-SA"/>
        </w:rPr>
        <w:t>一</w:t>
      </w:r>
      <w:r>
        <w:rPr>
          <w:rFonts w:hint="eastAsia" w:ascii="宋体" w:hAnsi="宋体" w:cs="宋体"/>
          <w:b/>
          <w:bCs w:val="0"/>
          <w:kern w:val="2"/>
          <w:sz w:val="24"/>
          <w:szCs w:val="24"/>
          <w:lang w:val="en-US" w:eastAsia="zh-CN" w:bidi="ar-SA"/>
        </w:rPr>
        <w:t>、</w:t>
      </w:r>
      <w:r>
        <w:rPr>
          <w:rFonts w:hint="eastAsia" w:ascii="宋体" w:hAnsi="宋体" w:eastAsia="宋体" w:cs="宋体"/>
          <w:b/>
          <w:bCs w:val="0"/>
          <w:kern w:val="2"/>
          <w:sz w:val="24"/>
          <w:szCs w:val="24"/>
          <w:lang w:val="en-US" w:eastAsia="zh-CN" w:bidi="ar-SA"/>
        </w:rPr>
        <w:t>项目人员要求：</w:t>
      </w:r>
      <w:r>
        <w:rPr>
          <w:rFonts w:hint="eastAsia" w:ascii="宋体" w:hAnsi="宋体" w:eastAsia="宋体" w:cs="宋体"/>
          <w:b/>
          <w:bCs w:val="0"/>
          <w:sz w:val="24"/>
          <w:szCs w:val="24"/>
          <w:lang w:val="en-US" w:eastAsia="zh-CN"/>
        </w:rPr>
        <w:t>配备人员（3人）及资格要求：</w:t>
      </w:r>
    </w:p>
    <w:p w14:paraId="0AFBC681">
      <w:pPr>
        <w:spacing w:line="360" w:lineRule="auto"/>
        <w:ind w:firstLine="482" w:firstLineChars="20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1、项目负责人须具备注册一级</w:t>
      </w:r>
      <w:r>
        <w:rPr>
          <w:rFonts w:hint="eastAsia" w:ascii="宋体" w:hAnsi="宋体" w:eastAsia="宋体" w:cs="宋体"/>
          <w:b/>
          <w:bCs w:val="0"/>
          <w:sz w:val="24"/>
          <w:szCs w:val="24"/>
          <w:highlight w:val="none"/>
          <w:lang w:val="en-US" w:eastAsia="zh-CN"/>
        </w:rPr>
        <w:t>安装</w:t>
      </w:r>
      <w:r>
        <w:rPr>
          <w:rFonts w:hint="eastAsia" w:ascii="宋体" w:hAnsi="宋体" w:eastAsia="宋体" w:cs="宋体"/>
          <w:b/>
          <w:bCs w:val="0"/>
          <w:sz w:val="24"/>
          <w:szCs w:val="24"/>
          <w:lang w:val="en-US" w:eastAsia="zh-CN"/>
        </w:rPr>
        <w:t>专业造价工程师资格；</w:t>
      </w:r>
    </w:p>
    <w:p w14:paraId="3E7F1EB6">
      <w:pPr>
        <w:spacing w:line="360" w:lineRule="auto"/>
        <w:ind w:left="479" w:leftChars="228" w:firstLine="0" w:firstLineChars="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2、审价安装专业工程师1人，须具有一级注册造价工程师资格；</w:t>
      </w:r>
    </w:p>
    <w:p w14:paraId="5D74B04C">
      <w:pPr>
        <w:spacing w:line="360" w:lineRule="auto"/>
        <w:ind w:left="479" w:leftChars="228" w:firstLine="0" w:firstLineChars="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3、审价土建专业工程师1人，须具有二级注册造价工程师资格；</w:t>
      </w:r>
    </w:p>
    <w:p w14:paraId="7306BF7A">
      <w:pPr>
        <w:spacing w:line="360" w:lineRule="auto"/>
        <w:ind w:firstLine="482" w:firstLineChars="200"/>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4、以上三位造价工程师，均须提供人员身份证、相关证书复印件及缴纳的自开标之日起上推 1 个月的社保证明材料并加盖投标人公章。</w:t>
      </w:r>
    </w:p>
    <w:p w14:paraId="40E8685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供应商及项目负责人业绩要求：</w:t>
      </w:r>
    </w:p>
    <w:p w14:paraId="69F9995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供应商及项目负责人具备同类业务（即供电工程结算二审审计）服务业绩的，提供业绩合同不少于1份，竣工结算定案表中审定价不低于800万元，（响应文件中须提供业绩合同，成果文件原件扫描件，扫描件应能辨识买卖双方公章或合同专用章、标的信息、项目负责人信息；如业绩合同不能体现以上全部内容，可提供业绩合同甲方盖公章的证明原件扫描件。否则，视为无效标。供应商与其关联公司（单位负责人为同一人或者存在直接控股、管理关系的不同供应商）之间签订的合同，均不予认可。</w:t>
      </w:r>
    </w:p>
    <w:p w14:paraId="6E78D2BF">
      <w:pPr>
        <w:spacing w:line="360" w:lineRule="auto"/>
        <w:ind w:firstLine="480" w:firstLineChars="200"/>
        <w:rPr>
          <w:rFonts w:hint="eastAsia" w:ascii="宋体" w:hAnsi="宋体" w:eastAsia="宋体" w:cs="宋体"/>
          <w:b w:val="0"/>
          <w:bCs/>
          <w:sz w:val="24"/>
          <w:szCs w:val="24"/>
          <w:highlight w:val="none"/>
          <w:lang w:val="en-US" w:eastAsia="zh-CN"/>
        </w:rPr>
      </w:pPr>
    </w:p>
    <w:p w14:paraId="41B658F8">
      <w:pPr>
        <w:pStyle w:val="5"/>
        <w:ind w:left="0" w:leftChars="0" w:firstLine="0" w:firstLineChars="0"/>
        <w:rPr>
          <w:rFonts w:hint="eastAsia"/>
          <w:lang w:val="en-US" w:eastAsia="zh-CN"/>
        </w:rPr>
      </w:pPr>
    </w:p>
    <w:p w14:paraId="425A4E86">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color w:val="333333"/>
          <w:kern w:val="0"/>
          <w:sz w:val="28"/>
          <w:szCs w:val="28"/>
          <w:lang w:val="en-US" w:eastAsia="zh-CN" w:bidi="ar"/>
        </w:rPr>
      </w:pPr>
      <w:r>
        <w:rPr>
          <w:rFonts w:hint="eastAsia" w:ascii="宋体" w:hAnsi="宋体" w:cs="宋体"/>
          <w:b/>
          <w:bCs/>
          <w:color w:val="333333"/>
          <w:kern w:val="0"/>
          <w:sz w:val="28"/>
          <w:szCs w:val="28"/>
          <w:lang w:val="en-US" w:eastAsia="zh-CN" w:bidi="ar"/>
        </w:rPr>
        <w:t>五</w:t>
      </w:r>
      <w:r>
        <w:rPr>
          <w:rFonts w:hint="eastAsia" w:ascii="宋体" w:hAnsi="宋体" w:eastAsia="宋体" w:cs="宋体"/>
          <w:b/>
          <w:bCs/>
          <w:color w:val="333333"/>
          <w:kern w:val="0"/>
          <w:sz w:val="28"/>
          <w:szCs w:val="28"/>
          <w:lang w:val="en-US" w:eastAsia="zh-CN" w:bidi="ar"/>
        </w:rPr>
        <w:t>、结算要求：</w:t>
      </w:r>
    </w:p>
    <w:p w14:paraId="45520DC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1、服务费计算方式：最终审计服务费用=（结算一审审定价的对应金额+核减额×对应费率）×报价费率。</w:t>
      </w:r>
      <w:r>
        <w:rPr>
          <w:rFonts w:hint="default" w:ascii="宋体" w:hAnsi="宋体" w:eastAsia="宋体" w:cs="宋体"/>
          <w:b w:val="0"/>
          <w:bCs/>
          <w:sz w:val="24"/>
          <w:szCs w:val="24"/>
          <w:lang w:val="en-US" w:eastAsia="zh-CN"/>
        </w:rPr>
        <w:t xml:space="preserve"> </w:t>
      </w:r>
    </w:p>
    <w:p w14:paraId="559C4729">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注：审减额为净核减额，审增额不支付服务费。 </w:t>
      </w:r>
    </w:p>
    <w:p w14:paraId="30C0BCA8">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对应费率为收费标准对应的费率。 </w:t>
      </w:r>
    </w:p>
    <w:p w14:paraId="570C3E32">
      <w:pPr>
        <w:spacing w:line="360" w:lineRule="auto"/>
        <w:ind w:firstLine="480" w:firstLineChars="200"/>
        <w:rPr>
          <w:rFonts w:hint="eastAsia" w:ascii="宋体" w:hAnsi="宋体" w:eastAsia="宋体" w:cs="宋体"/>
          <w:b w:val="0"/>
          <w:bCs/>
          <w:sz w:val="21"/>
          <w:szCs w:val="21"/>
          <w:lang w:val="en-US" w:eastAsia="zh-CN"/>
        </w:rPr>
      </w:pPr>
      <w:r>
        <w:rPr>
          <w:rFonts w:hint="default" w:ascii="宋体" w:hAnsi="宋体" w:eastAsia="宋体" w:cs="宋体"/>
          <w:b w:val="0"/>
          <w:bCs/>
          <w:sz w:val="24"/>
          <w:szCs w:val="24"/>
          <w:lang w:val="en-US" w:eastAsia="zh-CN"/>
        </w:rPr>
        <w:t xml:space="preserve"> </w:t>
      </w:r>
      <w:r>
        <w:rPr>
          <w:rFonts w:hint="eastAsia" w:ascii="宋体" w:hAnsi="宋体" w:eastAsia="宋体" w:cs="宋体"/>
          <w:b w:val="0"/>
          <w:bCs/>
          <w:sz w:val="24"/>
          <w:szCs w:val="24"/>
          <w:lang w:val="en-US" w:eastAsia="zh-CN"/>
        </w:rPr>
        <w:t xml:space="preserve">                 </w:t>
      </w:r>
      <w:r>
        <w:rPr>
          <w:rFonts w:hint="eastAsia" w:ascii="宋体" w:hAnsi="宋体" w:eastAsia="宋体" w:cs="宋体"/>
          <w:b/>
          <w:bCs/>
          <w:color w:val="000000"/>
          <w:sz w:val="21"/>
          <w:szCs w:val="21"/>
          <w:lang w:val="en-US" w:eastAsia="zh-CN"/>
        </w:rPr>
        <w:t xml:space="preserve">收费标准表（复审）   </w:t>
      </w:r>
      <w:r>
        <w:rPr>
          <w:rFonts w:hint="eastAsia" w:ascii="宋体" w:hAnsi="宋体" w:eastAsia="宋体" w:cs="宋体"/>
          <w:b w:val="0"/>
          <w:bCs/>
          <w:sz w:val="24"/>
          <w:szCs w:val="24"/>
          <w:lang w:val="en-US" w:eastAsia="zh-CN"/>
        </w:rPr>
        <w:t xml:space="preserve">                    </w:t>
      </w:r>
      <w:r>
        <w:rPr>
          <w:rFonts w:hint="default" w:ascii="宋体" w:hAnsi="宋体" w:eastAsia="宋体" w:cs="宋体"/>
          <w:b w:val="0"/>
          <w:bCs/>
          <w:sz w:val="24"/>
          <w:szCs w:val="24"/>
          <w:lang w:val="en-US" w:eastAsia="zh-CN"/>
        </w:rPr>
        <w:t xml:space="preserve"> </w:t>
      </w:r>
      <w:r>
        <w:rPr>
          <w:rFonts w:hint="eastAsia" w:ascii="宋体" w:hAnsi="宋体" w:eastAsia="宋体" w:cs="宋体"/>
          <w:b w:val="0"/>
          <w:bCs/>
          <w:sz w:val="21"/>
          <w:szCs w:val="21"/>
          <w:lang w:val="en-US" w:eastAsia="zh-CN"/>
        </w:rPr>
        <w:t>单位：元</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711"/>
        <w:gridCol w:w="778"/>
        <w:gridCol w:w="486"/>
        <w:gridCol w:w="579"/>
        <w:gridCol w:w="579"/>
        <w:gridCol w:w="686"/>
        <w:gridCol w:w="686"/>
        <w:gridCol w:w="686"/>
        <w:gridCol w:w="686"/>
        <w:gridCol w:w="790"/>
        <w:gridCol w:w="790"/>
        <w:gridCol w:w="790"/>
        <w:gridCol w:w="805"/>
      </w:tblGrid>
      <w:tr w14:paraId="705A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13" w:type="pct"/>
            <w:vMerge w:val="restart"/>
            <w:vAlign w:val="center"/>
          </w:tcPr>
          <w:p w14:paraId="7F74E9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咨询项目</w:t>
            </w:r>
          </w:p>
        </w:tc>
        <w:tc>
          <w:tcPr>
            <w:tcW w:w="369" w:type="pct"/>
            <w:vMerge w:val="restart"/>
            <w:vAlign w:val="center"/>
          </w:tcPr>
          <w:p w14:paraId="1F4DCD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收费 基础</w:t>
            </w:r>
          </w:p>
        </w:tc>
        <w:tc>
          <w:tcPr>
            <w:tcW w:w="403" w:type="pct"/>
            <w:vMerge w:val="restart"/>
            <w:vAlign w:val="center"/>
          </w:tcPr>
          <w:p w14:paraId="4BC4F8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收费类型</w:t>
            </w:r>
          </w:p>
        </w:tc>
        <w:tc>
          <w:tcPr>
            <w:tcW w:w="3813" w:type="pct"/>
            <w:gridSpan w:val="11"/>
            <w:vAlign w:val="center"/>
          </w:tcPr>
          <w:p w14:paraId="1E700D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单位工程金额(万元)</w:t>
            </w:r>
          </w:p>
        </w:tc>
      </w:tr>
      <w:tr w14:paraId="2D5D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Merge w:val="continue"/>
            <w:vAlign w:val="center"/>
          </w:tcPr>
          <w:p w14:paraId="4D819C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p>
        </w:tc>
        <w:tc>
          <w:tcPr>
            <w:tcW w:w="369" w:type="pct"/>
            <w:vMerge w:val="continue"/>
            <w:vAlign w:val="center"/>
          </w:tcPr>
          <w:p w14:paraId="219DE4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p>
        </w:tc>
        <w:tc>
          <w:tcPr>
            <w:tcW w:w="403" w:type="pct"/>
            <w:vMerge w:val="continue"/>
            <w:vAlign w:val="center"/>
          </w:tcPr>
          <w:p w14:paraId="39F0F4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p>
        </w:tc>
        <w:tc>
          <w:tcPr>
            <w:tcW w:w="142" w:type="pct"/>
            <w:vAlign w:val="center"/>
          </w:tcPr>
          <w:p w14:paraId="79D00C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100 以内</w:t>
            </w:r>
          </w:p>
        </w:tc>
        <w:tc>
          <w:tcPr>
            <w:tcW w:w="302" w:type="pct"/>
            <w:vAlign w:val="center"/>
          </w:tcPr>
          <w:p w14:paraId="545209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200 以内</w:t>
            </w:r>
          </w:p>
        </w:tc>
        <w:tc>
          <w:tcPr>
            <w:tcW w:w="302" w:type="pct"/>
            <w:vAlign w:val="center"/>
          </w:tcPr>
          <w:p w14:paraId="7D8657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500 以内</w:t>
            </w:r>
          </w:p>
        </w:tc>
        <w:tc>
          <w:tcPr>
            <w:tcW w:w="356" w:type="pct"/>
            <w:vAlign w:val="center"/>
          </w:tcPr>
          <w:p w14:paraId="0F4FAB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1000 以内</w:t>
            </w:r>
          </w:p>
        </w:tc>
        <w:tc>
          <w:tcPr>
            <w:tcW w:w="356" w:type="pct"/>
            <w:vAlign w:val="center"/>
          </w:tcPr>
          <w:p w14:paraId="28BB9A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2000 以内</w:t>
            </w:r>
          </w:p>
        </w:tc>
        <w:tc>
          <w:tcPr>
            <w:tcW w:w="356" w:type="pct"/>
            <w:vAlign w:val="center"/>
          </w:tcPr>
          <w:p w14:paraId="6C7707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3000 以内</w:t>
            </w:r>
          </w:p>
        </w:tc>
        <w:tc>
          <w:tcPr>
            <w:tcW w:w="356" w:type="pct"/>
            <w:vAlign w:val="center"/>
          </w:tcPr>
          <w:p w14:paraId="0FD425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5000 以内</w:t>
            </w:r>
          </w:p>
        </w:tc>
        <w:tc>
          <w:tcPr>
            <w:tcW w:w="409" w:type="pct"/>
            <w:vAlign w:val="center"/>
          </w:tcPr>
          <w:p w14:paraId="1A6F15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10000 以内</w:t>
            </w:r>
          </w:p>
        </w:tc>
        <w:tc>
          <w:tcPr>
            <w:tcW w:w="409" w:type="pct"/>
            <w:vAlign w:val="center"/>
          </w:tcPr>
          <w:p w14:paraId="5648BF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30000 以内</w:t>
            </w:r>
          </w:p>
        </w:tc>
        <w:tc>
          <w:tcPr>
            <w:tcW w:w="409" w:type="pct"/>
            <w:vAlign w:val="center"/>
          </w:tcPr>
          <w:p w14:paraId="64A410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50000 以内</w:t>
            </w:r>
          </w:p>
        </w:tc>
        <w:tc>
          <w:tcPr>
            <w:tcW w:w="411" w:type="pct"/>
            <w:vAlign w:val="center"/>
          </w:tcPr>
          <w:p w14:paraId="1661BD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50000 以上</w:t>
            </w:r>
          </w:p>
        </w:tc>
      </w:tr>
      <w:tr w14:paraId="139A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Merge w:val="restart"/>
            <w:vAlign w:val="center"/>
          </w:tcPr>
          <w:p w14:paraId="6CC0D4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ascii="宋体" w:hAnsi="宋体" w:eastAsia="宋体" w:cs="宋体"/>
                <w:b w:val="0"/>
                <w:bCs w:val="0"/>
                <w:color w:val="000000"/>
                <w:sz w:val="18"/>
                <w:szCs w:val="18"/>
              </w:rPr>
              <w:t>工程结算 审核及跟 踪审计</w:t>
            </w:r>
          </w:p>
        </w:tc>
        <w:tc>
          <w:tcPr>
            <w:tcW w:w="369" w:type="pct"/>
            <w:vMerge w:val="restart"/>
            <w:vAlign w:val="center"/>
          </w:tcPr>
          <w:p w14:paraId="7BC411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ascii="宋体" w:hAnsi="宋体" w:eastAsia="宋体" w:cs="宋体"/>
                <w:b w:val="0"/>
                <w:bCs w:val="0"/>
                <w:color w:val="000000"/>
                <w:sz w:val="18"/>
                <w:szCs w:val="18"/>
              </w:rPr>
              <w:t>初审审价 咨询机构 审核的工 程造价</w:t>
            </w:r>
          </w:p>
        </w:tc>
        <w:tc>
          <w:tcPr>
            <w:tcW w:w="403" w:type="pct"/>
            <w:vAlign w:val="center"/>
          </w:tcPr>
          <w:p w14:paraId="24D630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ascii="宋体" w:hAnsi="宋体" w:eastAsia="宋体" w:cs="宋体"/>
                <w:b w:val="0"/>
                <w:bCs w:val="0"/>
                <w:color w:val="000000"/>
                <w:sz w:val="18"/>
                <w:szCs w:val="18"/>
              </w:rPr>
              <w:t>(1)基本收费</w:t>
            </w:r>
          </w:p>
        </w:tc>
        <w:tc>
          <w:tcPr>
            <w:tcW w:w="142" w:type="pct"/>
            <w:vAlign w:val="center"/>
          </w:tcPr>
          <w:p w14:paraId="064A9E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500</w:t>
            </w:r>
          </w:p>
        </w:tc>
        <w:tc>
          <w:tcPr>
            <w:tcW w:w="302" w:type="pct"/>
            <w:vAlign w:val="center"/>
          </w:tcPr>
          <w:p w14:paraId="3B93FC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600</w:t>
            </w:r>
          </w:p>
        </w:tc>
        <w:tc>
          <w:tcPr>
            <w:tcW w:w="302" w:type="pct"/>
            <w:vAlign w:val="center"/>
          </w:tcPr>
          <w:p w14:paraId="11F5BD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700</w:t>
            </w:r>
          </w:p>
        </w:tc>
        <w:tc>
          <w:tcPr>
            <w:tcW w:w="356" w:type="pct"/>
            <w:vAlign w:val="center"/>
          </w:tcPr>
          <w:p w14:paraId="3E1931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1000</w:t>
            </w:r>
          </w:p>
        </w:tc>
        <w:tc>
          <w:tcPr>
            <w:tcW w:w="356" w:type="pct"/>
            <w:vAlign w:val="center"/>
          </w:tcPr>
          <w:p w14:paraId="2A3D0A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1500</w:t>
            </w:r>
          </w:p>
        </w:tc>
        <w:tc>
          <w:tcPr>
            <w:tcW w:w="356" w:type="pct"/>
            <w:vAlign w:val="center"/>
          </w:tcPr>
          <w:p w14:paraId="0C368C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2500</w:t>
            </w:r>
          </w:p>
        </w:tc>
        <w:tc>
          <w:tcPr>
            <w:tcW w:w="356" w:type="pct"/>
            <w:vAlign w:val="center"/>
          </w:tcPr>
          <w:p w14:paraId="3308C6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3600</w:t>
            </w:r>
          </w:p>
        </w:tc>
        <w:tc>
          <w:tcPr>
            <w:tcW w:w="409" w:type="pct"/>
            <w:vAlign w:val="center"/>
          </w:tcPr>
          <w:p w14:paraId="4E7F8B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4800</w:t>
            </w:r>
          </w:p>
        </w:tc>
        <w:tc>
          <w:tcPr>
            <w:tcW w:w="409" w:type="pct"/>
            <w:vAlign w:val="center"/>
          </w:tcPr>
          <w:p w14:paraId="6F62CE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7000</w:t>
            </w:r>
          </w:p>
        </w:tc>
        <w:tc>
          <w:tcPr>
            <w:tcW w:w="409" w:type="pct"/>
            <w:vAlign w:val="center"/>
          </w:tcPr>
          <w:p w14:paraId="2F8D44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8300</w:t>
            </w:r>
          </w:p>
        </w:tc>
        <w:tc>
          <w:tcPr>
            <w:tcW w:w="411" w:type="pct"/>
            <w:vAlign w:val="center"/>
          </w:tcPr>
          <w:p w14:paraId="5556D5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9600</w:t>
            </w:r>
          </w:p>
        </w:tc>
      </w:tr>
      <w:tr w14:paraId="6EA5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Merge w:val="continue"/>
          </w:tcPr>
          <w:p w14:paraId="3AC7E08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sz w:val="18"/>
                <w:szCs w:val="18"/>
                <w:lang w:val="en-US" w:eastAsia="zh-CN"/>
              </w:rPr>
            </w:pPr>
          </w:p>
        </w:tc>
        <w:tc>
          <w:tcPr>
            <w:tcW w:w="369" w:type="pct"/>
            <w:vMerge w:val="continue"/>
          </w:tcPr>
          <w:p w14:paraId="3120B1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sz w:val="18"/>
                <w:szCs w:val="18"/>
                <w:lang w:val="en-US" w:eastAsia="zh-CN"/>
              </w:rPr>
            </w:pPr>
          </w:p>
        </w:tc>
        <w:tc>
          <w:tcPr>
            <w:tcW w:w="403" w:type="pct"/>
          </w:tcPr>
          <w:p w14:paraId="37C6B9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18"/>
                <w:szCs w:val="18"/>
                <w:lang w:val="en-US" w:eastAsia="zh-CN"/>
              </w:rPr>
            </w:pPr>
            <w:r>
              <w:rPr>
                <w:rFonts w:ascii="宋体" w:hAnsi="宋体" w:eastAsia="宋体" w:cs="宋体"/>
                <w:b w:val="0"/>
                <w:bCs w:val="0"/>
                <w:color w:val="000000"/>
                <w:sz w:val="18"/>
                <w:szCs w:val="18"/>
              </w:rPr>
              <w:t>(2)审核核减 投资额</w:t>
            </w:r>
          </w:p>
        </w:tc>
        <w:tc>
          <w:tcPr>
            <w:tcW w:w="3813" w:type="pct"/>
            <w:gridSpan w:val="11"/>
            <w:vAlign w:val="center"/>
          </w:tcPr>
          <w:p w14:paraId="37D5016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eastAsia="宋体" w:cs="宋体"/>
                <w:b w:val="0"/>
                <w:bCs w:val="0"/>
                <w:color w:val="000000"/>
                <w:sz w:val="18"/>
                <w:szCs w:val="18"/>
              </w:rPr>
            </w:pPr>
            <w:r>
              <w:rPr>
                <w:rFonts w:hint="eastAsia" w:ascii="宋体" w:hAnsi="宋体" w:eastAsia="宋体" w:cs="宋体"/>
                <w:b w:val="0"/>
                <w:bCs w:val="0"/>
                <w:color w:val="000000"/>
                <w:sz w:val="18"/>
                <w:szCs w:val="18"/>
                <w:lang w:val="en-US" w:eastAsia="zh-CN"/>
              </w:rPr>
              <w:t>(1)</w:t>
            </w:r>
            <w:r>
              <w:rPr>
                <w:rFonts w:ascii="宋体" w:hAnsi="宋体" w:eastAsia="宋体" w:cs="宋体"/>
                <w:b w:val="0"/>
                <w:bCs w:val="0"/>
                <w:color w:val="000000"/>
                <w:sz w:val="18"/>
                <w:szCs w:val="18"/>
              </w:rPr>
              <w:t xml:space="preserve">核减率在1.5%以下部分按核减额5%计算 </w:t>
            </w:r>
          </w:p>
          <w:p w14:paraId="3D1B20E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(2)</w:t>
            </w:r>
            <w:r>
              <w:rPr>
                <w:rFonts w:ascii="宋体" w:hAnsi="宋体" w:eastAsia="宋体" w:cs="宋体"/>
                <w:b w:val="0"/>
                <w:bCs w:val="0"/>
                <w:color w:val="000000"/>
                <w:sz w:val="18"/>
                <w:szCs w:val="18"/>
              </w:rPr>
              <w:t>核减率在1.5%以上部分按核减额6%计算</w:t>
            </w:r>
          </w:p>
        </w:tc>
      </w:tr>
    </w:tbl>
    <w:p w14:paraId="1A5CEC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2、投标人投标报价应为完成该服务项目的所有费用，包含但不限于办公场地费、交通费、食宿费、会务费、专家费、资料费以及其他为完成本服务项目产生的所有费用。本项目招标人不提供办公场所。 </w:t>
      </w:r>
    </w:p>
    <w:p w14:paraId="5CFA15A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3、非投标人原因导致服务周期延长，投标人不承担违约责任，投标人不得因此要求增加任何咨询服务费。</w:t>
      </w:r>
    </w:p>
    <w:p w14:paraId="02DD09F1">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color w:val="333333"/>
          <w:kern w:val="0"/>
          <w:sz w:val="28"/>
          <w:szCs w:val="28"/>
          <w:lang w:val="en-US" w:eastAsia="zh-CN" w:bidi="ar"/>
        </w:rPr>
      </w:pPr>
      <w:r>
        <w:rPr>
          <w:rFonts w:hint="eastAsia" w:ascii="宋体" w:hAnsi="宋体" w:cs="宋体"/>
          <w:b/>
          <w:bCs/>
          <w:color w:val="333333"/>
          <w:kern w:val="0"/>
          <w:sz w:val="28"/>
          <w:szCs w:val="28"/>
          <w:lang w:val="en-US" w:eastAsia="zh-CN" w:bidi="ar"/>
        </w:rPr>
        <w:t>六</w:t>
      </w:r>
      <w:r>
        <w:rPr>
          <w:rFonts w:hint="eastAsia" w:ascii="宋体" w:hAnsi="宋体" w:eastAsia="宋体" w:cs="宋体"/>
          <w:b/>
          <w:bCs/>
          <w:color w:val="333333"/>
          <w:kern w:val="0"/>
          <w:sz w:val="28"/>
          <w:szCs w:val="28"/>
          <w:lang w:val="en-US" w:eastAsia="zh-CN" w:bidi="ar"/>
        </w:rPr>
        <w:t>、本次招标需要回避单位：</w:t>
      </w:r>
    </w:p>
    <w:p w14:paraId="739F972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回避单位：参与本项目的设计、施工、监理、招标代理、清单控制价编制及项目结算编制单位、一审审价单位，与被审价单位或审价事项有利害关系或与该项目建设管理有业务关联的单位，应予以回避。</w:t>
      </w:r>
    </w:p>
    <w:p w14:paraId="4A8528A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规避单位不限于表中所列：</w:t>
      </w:r>
    </w:p>
    <w:tbl>
      <w:tblPr>
        <w:tblStyle w:val="7"/>
        <w:tblW w:w="10530" w:type="dxa"/>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445"/>
        <w:gridCol w:w="1410"/>
        <w:gridCol w:w="1500"/>
        <w:gridCol w:w="1545"/>
        <w:gridCol w:w="1575"/>
        <w:gridCol w:w="1545"/>
      </w:tblGrid>
      <w:tr w14:paraId="2C2B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10" w:type="dxa"/>
            <w:vAlign w:val="center"/>
          </w:tcPr>
          <w:p w14:paraId="769A8798">
            <w:pPr>
              <w:keepNext w:val="0"/>
              <w:keepLines w:val="0"/>
              <w:widowControl/>
              <w:suppressLineNumbers w:val="0"/>
              <w:jc w:val="center"/>
              <w:textAlignment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施工单位</w:t>
            </w:r>
          </w:p>
        </w:tc>
        <w:tc>
          <w:tcPr>
            <w:tcW w:w="1445" w:type="dxa"/>
            <w:vAlign w:val="center"/>
          </w:tcPr>
          <w:p w14:paraId="20241AF3">
            <w:pPr>
              <w:keepNext w:val="0"/>
              <w:keepLines w:val="0"/>
              <w:widowControl/>
              <w:suppressLineNumbers w:val="0"/>
              <w:jc w:val="center"/>
              <w:textAlignment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设计单位</w:t>
            </w:r>
          </w:p>
        </w:tc>
        <w:tc>
          <w:tcPr>
            <w:tcW w:w="1410" w:type="dxa"/>
            <w:vAlign w:val="center"/>
          </w:tcPr>
          <w:p w14:paraId="1577480E">
            <w:pPr>
              <w:keepNext w:val="0"/>
              <w:keepLines w:val="0"/>
              <w:widowControl/>
              <w:suppressLineNumbers w:val="0"/>
              <w:jc w:val="center"/>
              <w:textAlignment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监理单位</w:t>
            </w:r>
          </w:p>
        </w:tc>
        <w:tc>
          <w:tcPr>
            <w:tcW w:w="1500" w:type="dxa"/>
            <w:vAlign w:val="center"/>
          </w:tcPr>
          <w:p w14:paraId="09EE447F">
            <w:pPr>
              <w:keepNext w:val="0"/>
              <w:keepLines w:val="0"/>
              <w:widowControl/>
              <w:suppressLineNumbers w:val="0"/>
              <w:jc w:val="center"/>
              <w:textAlignment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招标代理</w:t>
            </w:r>
          </w:p>
        </w:tc>
        <w:tc>
          <w:tcPr>
            <w:tcW w:w="1545" w:type="dxa"/>
            <w:vAlign w:val="center"/>
          </w:tcPr>
          <w:p w14:paraId="218FB82B">
            <w:pPr>
              <w:keepNext w:val="0"/>
              <w:keepLines w:val="0"/>
              <w:widowControl/>
              <w:suppressLineNumbers w:val="0"/>
              <w:jc w:val="center"/>
              <w:textAlignment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清单编制1</w:t>
            </w:r>
          </w:p>
        </w:tc>
        <w:tc>
          <w:tcPr>
            <w:tcW w:w="1575" w:type="dxa"/>
            <w:vAlign w:val="center"/>
          </w:tcPr>
          <w:p w14:paraId="12C95BC5">
            <w:pPr>
              <w:keepNext w:val="0"/>
              <w:keepLines w:val="0"/>
              <w:widowControl/>
              <w:suppressLineNumbers w:val="0"/>
              <w:jc w:val="center"/>
              <w:textAlignment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清单编制2</w:t>
            </w:r>
          </w:p>
        </w:tc>
        <w:tc>
          <w:tcPr>
            <w:tcW w:w="1545" w:type="dxa"/>
            <w:vAlign w:val="center"/>
          </w:tcPr>
          <w:p w14:paraId="6F21DF64">
            <w:pPr>
              <w:keepNext w:val="0"/>
              <w:keepLines w:val="0"/>
              <w:widowControl/>
              <w:suppressLineNumbers w:val="0"/>
              <w:jc w:val="center"/>
              <w:textAlignment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lang w:val="en-US" w:eastAsia="zh-CN"/>
              </w:rPr>
              <w:t>一审审价单位</w:t>
            </w:r>
          </w:p>
        </w:tc>
      </w:tr>
      <w:tr w14:paraId="53CE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510" w:type="dxa"/>
            <w:vAlign w:val="center"/>
          </w:tcPr>
          <w:p w14:paraId="46130C24">
            <w:pPr>
              <w:keepNext w:val="0"/>
              <w:keepLines w:val="0"/>
              <w:widowControl/>
              <w:suppressLineNumbers w:val="0"/>
              <w:jc w:val="center"/>
              <w:textAlignment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lang w:val="en-US" w:eastAsia="zh-CN"/>
              </w:rPr>
              <w:t>合肥安明电力安装工程有限公司</w:t>
            </w:r>
          </w:p>
        </w:tc>
        <w:tc>
          <w:tcPr>
            <w:tcW w:w="1445" w:type="dxa"/>
            <w:vAlign w:val="center"/>
          </w:tcPr>
          <w:p w14:paraId="28EE700C">
            <w:pPr>
              <w:keepNext w:val="0"/>
              <w:keepLines w:val="0"/>
              <w:widowControl/>
              <w:suppressLineNumbers w:val="0"/>
              <w:jc w:val="center"/>
              <w:textAlignment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lang w:val="en-US" w:eastAsia="zh-CN"/>
              </w:rPr>
              <w:t>中铁时代建筑设计院有限公司</w:t>
            </w:r>
          </w:p>
        </w:tc>
        <w:tc>
          <w:tcPr>
            <w:tcW w:w="1410" w:type="dxa"/>
            <w:vAlign w:val="center"/>
          </w:tcPr>
          <w:p w14:paraId="162A04AC">
            <w:pPr>
              <w:keepNext w:val="0"/>
              <w:keepLines w:val="0"/>
              <w:widowControl/>
              <w:suppressLineNumbers w:val="0"/>
              <w:jc w:val="center"/>
              <w:textAlignment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lang w:val="en-US" w:eastAsia="zh-CN"/>
              </w:rPr>
              <w:t>安徽新芜项目管理咨询有限公司</w:t>
            </w:r>
          </w:p>
        </w:tc>
        <w:tc>
          <w:tcPr>
            <w:tcW w:w="1500" w:type="dxa"/>
            <w:vAlign w:val="center"/>
          </w:tcPr>
          <w:p w14:paraId="0CE4DC02">
            <w:pPr>
              <w:keepNext w:val="0"/>
              <w:keepLines w:val="0"/>
              <w:widowControl/>
              <w:suppressLineNumbers w:val="0"/>
              <w:jc w:val="center"/>
              <w:textAlignment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lang w:val="en-US" w:eastAsia="zh-CN"/>
              </w:rPr>
              <w:t>安徽安天利信工程管理股份有限公司</w:t>
            </w:r>
          </w:p>
        </w:tc>
        <w:tc>
          <w:tcPr>
            <w:tcW w:w="1545" w:type="dxa"/>
            <w:vAlign w:val="center"/>
          </w:tcPr>
          <w:p w14:paraId="3CD03331">
            <w:pPr>
              <w:keepNext w:val="0"/>
              <w:keepLines w:val="0"/>
              <w:widowControl/>
              <w:suppressLineNumbers w:val="0"/>
              <w:jc w:val="center"/>
              <w:textAlignment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lang w:val="en-US" w:eastAsia="zh-CN"/>
              </w:rPr>
              <w:t>浙江耀信工程咨询有限公司</w:t>
            </w:r>
          </w:p>
        </w:tc>
        <w:tc>
          <w:tcPr>
            <w:tcW w:w="1575" w:type="dxa"/>
            <w:vAlign w:val="center"/>
          </w:tcPr>
          <w:p w14:paraId="06640423">
            <w:pPr>
              <w:keepNext w:val="0"/>
              <w:keepLines w:val="0"/>
              <w:widowControl/>
              <w:suppressLineNumbers w:val="0"/>
              <w:jc w:val="center"/>
              <w:textAlignment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lang w:val="en-US" w:eastAsia="zh-CN"/>
              </w:rPr>
              <w:t>安徽安瑞工程咨询有限责任公司</w:t>
            </w:r>
          </w:p>
        </w:tc>
        <w:tc>
          <w:tcPr>
            <w:tcW w:w="1545" w:type="dxa"/>
            <w:vAlign w:val="center"/>
          </w:tcPr>
          <w:p w14:paraId="4CE7202E">
            <w:pPr>
              <w:keepNext w:val="0"/>
              <w:keepLines w:val="0"/>
              <w:widowControl/>
              <w:suppressLineNumbers w:val="0"/>
              <w:jc w:val="center"/>
              <w:textAlignment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芜湖中天工程咨询有限公司</w:t>
            </w:r>
          </w:p>
          <w:p w14:paraId="0F956CC1">
            <w:pPr>
              <w:keepNext w:val="0"/>
              <w:keepLines w:val="0"/>
              <w:widowControl/>
              <w:suppressLineNumbers w:val="0"/>
              <w:jc w:val="center"/>
              <w:textAlignment w:val="center"/>
              <w:rPr>
                <w:rFonts w:hint="eastAsia" w:ascii="宋体" w:hAnsi="宋体" w:eastAsia="宋体" w:cs="宋体"/>
                <w:b w:val="0"/>
                <w:bCs/>
                <w:sz w:val="21"/>
                <w:szCs w:val="21"/>
                <w:highlight w:val="none"/>
                <w:vertAlign w:val="baseline"/>
                <w:lang w:val="en-US" w:eastAsia="zh-CN"/>
              </w:rPr>
            </w:pPr>
          </w:p>
        </w:tc>
      </w:tr>
    </w:tbl>
    <w:p w14:paraId="55F00D8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333333"/>
          <w:kern w:val="0"/>
          <w:sz w:val="28"/>
          <w:szCs w:val="28"/>
          <w:lang w:val="en-US" w:eastAsia="zh-CN" w:bidi="ar"/>
        </w:rPr>
      </w:pPr>
    </w:p>
    <w:p w14:paraId="009E744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333333"/>
          <w:kern w:val="0"/>
          <w:sz w:val="28"/>
          <w:szCs w:val="28"/>
          <w:lang w:val="en-US" w:eastAsia="zh-CN" w:bidi="ar"/>
        </w:rPr>
      </w:pPr>
      <w:r>
        <w:rPr>
          <w:rFonts w:hint="eastAsia" w:ascii="宋体" w:hAnsi="宋体" w:cs="宋体"/>
          <w:b/>
          <w:bCs/>
          <w:color w:val="333333"/>
          <w:kern w:val="0"/>
          <w:sz w:val="28"/>
          <w:szCs w:val="28"/>
          <w:lang w:val="en-US" w:eastAsia="zh-CN" w:bidi="ar"/>
        </w:rPr>
        <w:t>七</w:t>
      </w:r>
      <w:r>
        <w:rPr>
          <w:rFonts w:hint="eastAsia" w:ascii="宋体" w:hAnsi="宋体" w:eastAsia="宋体" w:cs="宋体"/>
          <w:b/>
          <w:bCs/>
          <w:color w:val="333333"/>
          <w:kern w:val="0"/>
          <w:sz w:val="28"/>
          <w:szCs w:val="28"/>
          <w:lang w:val="en-US" w:eastAsia="zh-CN" w:bidi="ar"/>
        </w:rPr>
        <w:t xml:space="preserve">、支付方式 </w:t>
      </w:r>
    </w:p>
    <w:p w14:paraId="626A7BF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项目竣工结算审计报告出具</w:t>
      </w:r>
      <w:r>
        <w:rPr>
          <w:rFonts w:hint="eastAsia" w:ascii="宋体" w:hAnsi="宋体" w:eastAsia="宋体" w:cs="宋体"/>
          <w:b w:val="0"/>
          <w:bCs/>
          <w:sz w:val="24"/>
          <w:szCs w:val="24"/>
          <w:lang w:val="en-US" w:eastAsia="zh-CN"/>
        </w:rPr>
        <w:t>并资料存档合规</w:t>
      </w:r>
      <w:r>
        <w:rPr>
          <w:rFonts w:hint="eastAsia" w:ascii="宋体" w:hAnsi="宋体" w:eastAsia="宋体" w:cs="宋体"/>
          <w:b w:val="0"/>
          <w:bCs/>
          <w:sz w:val="24"/>
          <w:szCs w:val="24"/>
          <w:lang w:eastAsia="zh-CN"/>
        </w:rPr>
        <w:t>后，支付项目审计服务费的100%。</w:t>
      </w:r>
    </w:p>
    <w:p w14:paraId="0466F75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333333"/>
          <w:kern w:val="0"/>
          <w:sz w:val="28"/>
          <w:szCs w:val="28"/>
          <w:lang w:val="en-US" w:eastAsia="zh-CN" w:bidi="ar"/>
        </w:rPr>
      </w:pPr>
      <w:r>
        <w:rPr>
          <w:rFonts w:hint="eastAsia" w:ascii="宋体" w:hAnsi="宋体" w:cs="宋体"/>
          <w:b/>
          <w:bCs/>
          <w:color w:val="333333"/>
          <w:kern w:val="0"/>
          <w:sz w:val="28"/>
          <w:szCs w:val="28"/>
          <w:lang w:val="en-US" w:eastAsia="zh-CN" w:bidi="ar"/>
        </w:rPr>
        <w:t>八</w:t>
      </w:r>
      <w:r>
        <w:rPr>
          <w:rFonts w:hint="eastAsia" w:ascii="宋体" w:hAnsi="宋体" w:eastAsia="宋体" w:cs="宋体"/>
          <w:b/>
          <w:bCs/>
          <w:color w:val="333333"/>
          <w:kern w:val="0"/>
          <w:sz w:val="28"/>
          <w:szCs w:val="28"/>
          <w:lang w:val="en-US" w:eastAsia="zh-CN" w:bidi="ar"/>
        </w:rPr>
        <w:t xml:space="preserve">、履约要求 </w:t>
      </w:r>
    </w:p>
    <w:p w14:paraId="11F83B7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lang w:val="en-US" w:eastAsia="zh-CN"/>
        </w:rPr>
        <w:t>1、项目审价审结后，工程造价咨询企业应该按照《建设工咨询档案立卷标准》(DB34/T 1948-2013) 要求对竣工结算审核程造价资料进行归档，成果资料</w:t>
      </w:r>
      <w:r>
        <w:rPr>
          <w:rFonts w:hint="eastAsia" w:ascii="宋体" w:hAnsi="宋体" w:eastAsia="宋体" w:cs="宋体"/>
          <w:b/>
          <w:bCs w:val="0"/>
          <w:sz w:val="24"/>
          <w:szCs w:val="24"/>
          <w:lang w:val="en-US" w:eastAsia="zh-CN"/>
        </w:rPr>
        <w:t>胶装一式九份</w:t>
      </w:r>
      <w:r>
        <w:rPr>
          <w:rFonts w:hint="eastAsia" w:ascii="宋体" w:hAnsi="宋体" w:eastAsia="宋体" w:cs="宋体"/>
          <w:b/>
          <w:bCs w:val="0"/>
          <w:sz w:val="24"/>
          <w:szCs w:val="24"/>
          <w:highlight w:val="none"/>
          <w:lang w:val="en-US" w:eastAsia="zh-CN"/>
        </w:rPr>
        <w:t>，一院二份，市重点处六份、施工单位一份</w:t>
      </w:r>
      <w:r>
        <w:rPr>
          <w:rFonts w:hint="eastAsia" w:ascii="宋体" w:hAnsi="宋体" w:eastAsia="宋体" w:cs="宋体"/>
          <w:b w:val="0"/>
          <w:bCs/>
          <w:sz w:val="24"/>
          <w:szCs w:val="24"/>
          <w:highlight w:val="none"/>
          <w:lang w:val="en-US" w:eastAsia="zh-CN"/>
        </w:rPr>
        <w:t xml:space="preserve">。 </w:t>
      </w:r>
    </w:p>
    <w:p w14:paraId="7CE8C2A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2、中标人无正当理由拒绝撤换工程造价专业人员的违约责任：须支付5000元违约金。 </w:t>
      </w:r>
    </w:p>
    <w:p w14:paraId="4F91FD44">
      <w:p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r>
        <w:rPr>
          <w:rFonts w:hint="default" w:ascii="宋体" w:hAnsi="宋体" w:eastAsia="宋体" w:cs="宋体"/>
          <w:b w:val="0"/>
          <w:bCs/>
          <w:sz w:val="24"/>
          <w:szCs w:val="24"/>
          <w:lang w:val="en-US" w:eastAsia="zh-CN"/>
        </w:rPr>
        <w:t>供应商须承诺成交后根据采购人需求，2小时内响应并及时处理。若因采购人需求须抵达现场的，成交单位不得以任何理由拒绝到场。</w:t>
      </w:r>
    </w:p>
    <w:p w14:paraId="5670764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 xml:space="preserve">4、因中标人原因造成咨询期限延误，逾期完成咨询业务违约金的计算方法为：因中标人自身原因导致每延期一天，委托单位扣减审查服务咨询费用（酬金）的 5‰ ;中标人原因造成咨询期限延误，逾期完成咨询业务违约金的上限：直至委托审查项目审查服务咨询费用（酬金）扣完为止。 </w:t>
      </w:r>
    </w:p>
    <w:p w14:paraId="43A54B7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5、中标人对其提供的工程造价咨询成果负经济、法律责任；</w:t>
      </w:r>
    </w:p>
    <w:p w14:paraId="3563A13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 xml:space="preserve">6、关于中标人违约解除合同的特别约定：中标人在合同约定的期限内没有履行合同，委托人有权解除合同；因中标人违约解除合同的，关于已完咨询业务酬金结算和付款的约定: 不支付任何咨询费用。 </w:t>
      </w:r>
    </w:p>
    <w:p w14:paraId="5E8712F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 xml:space="preserve">7、委托人可根据该工程审价进展需要，要求中标人在一院内驻点开展竣工结算审价工作。 </w:t>
      </w:r>
    </w:p>
    <w:p w14:paraId="7674E01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 xml:space="preserve">8、若因中标人单位或工作人员收受其他利益当事人的宴请、礼金、礼品或与其他利益当事人恶意串通，谋取私利，一经发现，委托人将立即无条件终止本合同并拒付咨询费，如对委托人造成经济及时间损失的，委托人将依法追究咨询人的经济责任及法律责任。 </w:t>
      </w:r>
    </w:p>
    <w:p w14:paraId="5D36C10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9、本项目竣工结算审价工作及审价报告，应当接受审价机关审价监督和抽查审价。 </w:t>
      </w:r>
    </w:p>
    <w:p w14:paraId="1B1D861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w:t>
      </w:r>
    </w:p>
    <w:p w14:paraId="3055C29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napToGrid w:val="0"/>
          <w:sz w:val="28"/>
          <w:szCs w:val="28"/>
          <w:shd w:val="clear" w:color="auto" w:fill="auto"/>
          <w:lang w:val="en-US" w:eastAsia="zh-CN"/>
        </w:rPr>
        <w:t>备注：标注“*”参数为实质性参数，必须满足；否则，投标无效。</w:t>
      </w:r>
    </w:p>
    <w:p w14:paraId="4F02A9DC">
      <w:bookmarkStart w:id="0" w:name="_GoBack"/>
      <w:bookmarkEnd w:id="0"/>
    </w:p>
    <w:sectPr>
      <w:head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C7BBF">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9C8F4"/>
    <w:multiLevelType w:val="singleLevel"/>
    <w:tmpl w:val="A129C8F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D27C3E"/>
    <w:rsid w:val="329D5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660"/>
    </w:pPr>
    <w:rPr>
      <w:rFonts w:ascii="宋体" w:hAnsi="宋体"/>
      <w:color w:val="000000"/>
      <w:sz w:val="24"/>
      <w:szCs w:val="20"/>
    </w:rPr>
  </w:style>
  <w:style w:type="paragraph" w:styleId="3">
    <w:name w:val="envelope return"/>
    <w:basedOn w:val="1"/>
    <w:qFormat/>
    <w:uiPriority w:val="0"/>
    <w:pPr>
      <w:snapToGrid w:val="0"/>
    </w:pPr>
    <w:rPr>
      <w:rFonts w:ascii="Arial" w:hAnsi="Arial"/>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next w:val="1"/>
    <w:unhideWhenUsed/>
    <w:qFormat/>
    <w:uiPriority w:val="0"/>
    <w:pPr>
      <w:spacing w:after="120"/>
      <w:ind w:left="420" w:leftChars="200" w:firstLine="420" w:firstLineChars="200"/>
    </w:pPr>
    <w:rPr>
      <w:rFonts w:ascii="Times New Roman" w:hAnsi="Times New Roman"/>
      <w:color w:val="auto"/>
      <w:sz w:val="21"/>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2832</Words>
  <Characters>2919</Characters>
  <Lines>0</Lines>
  <Paragraphs>0</Paragraphs>
  <TotalTime>0</TotalTime>
  <ScaleCrop>false</ScaleCrop>
  <LinksUpToDate>false</LinksUpToDate>
  <CharactersWithSpaces>2952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2025-02-24T09:32:00Z</dcterms:created>
  <dc:creator>Administrator</dc:creator>
  <cp:lastModifiedBy>^山猫闪电腿^</cp:lastModifiedBy>
  <dcterms:modified xsi:type="dcterms:W3CDTF">2025-02-24T09:35:45Z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eyJoZGlkIjoiZWRhMjY1NWVkNjk5ZGEwMzk0OTBmNDg5MzgxNTQ3YjAiLCJ1c2VySWQiOiIxMDE3MjUyNTg5In0=</vt:lpwstr>
  </property>
  <property fmtid="{D5CDD505-2E9C-101B-9397-08002B2CF9AE}" pid="4" name="ICV">
    <vt:lpwstr>11D11ECE1B2D45E988EA973411962AF4_12</vt:lpwstr>
  </property>
</Properties>
</file>