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/>
          <w:b/>
          <w:bCs/>
          <w:sz w:val="28"/>
          <w:szCs w:val="28"/>
          <w:lang w:val="en-US" w:eastAsia="zh-CN"/>
        </w:rPr>
        <w:t>一次性使用静脉血样采集针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一次性使用静脉血样采集针参数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一次性使用血样采集器配套使用，对人体静脉采集血用。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2、符合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GB15811标准</w:t>
      </w:r>
      <w:bookmarkStart w:id="1" w:name="OLE_LINK2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（提供证明材料）</w:t>
      </w:r>
      <w:bookmarkEnd w:id="1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3、规格：</w:t>
      </w:r>
      <w:r>
        <w:rPr>
          <w:rFonts w:hint="eastAsia" w:ascii="宋体" w:hAnsi="宋体" w:eastAsia="宋体" w:cs="宋体"/>
          <w:sz w:val="24"/>
          <w:szCs w:val="24"/>
        </w:rPr>
        <w:t>蝶翼型(软连接):S0.55、S0.6、S0.7、S0.8、S0.9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zh-CN"/>
        </w:rPr>
        <w:t>*4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、软连接式由静脉输液针、导管、管塞穿刺针（长度为2.5cm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±0.2cm）、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胶套、保护套组成。（提供证明材料）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5、独立包装，一次性使用，无菌，无热源，环氧乙烷灭菌。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zh-CN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6、适用2ml-5ml真空采血管负压范围。（提供证明材料）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zh-CN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7、采血包装应有明显的启封口（易撕开）。（提供证明材料）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8、参考包装规格：100个/袋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*9、提供样品。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4C909"/>
    <w:multiLevelType w:val="singleLevel"/>
    <w:tmpl w:val="B9A4C9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73FB"/>
    <w:rsid w:val="27DD128C"/>
    <w:rsid w:val="41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2025-05-26T03:26:27Z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