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医用伤口护理膜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1、由院方指定的配送企业按计划分批次进行配送（配送费率4.87%）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按院方实际需求分批次供货，每次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供货期≤3个日历日；具有24小时应急服务，特殊情况下需2小时送达。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3、为贯彻落实国家15项医疗保障信息业务编码标准，收费产品所有品规必须对应安徽省27位医保编码。若投标所投产品无安徽省27位医保编码，只有国家20位医保编码，须在投标文件中承诺入选后尽快按照招标人要求申报安徽省27位医保编码，未按照招标人要求进行申报的招标人有权取消其入选资格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。（提供承诺函并加盖公章）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*4、须提供样品。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/>
        <w:jc w:val="left"/>
        <w:textAlignment w:val="auto"/>
        <w:rPr>
          <w:rFonts w:hint="default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napToGrid w:val="0"/>
          <w:sz w:val="28"/>
          <w:szCs w:val="28"/>
          <w:shd w:val="clear" w:color="auto" w:fill="auto"/>
          <w:lang w:val="en-US" w:eastAsia="zh-CN"/>
        </w:rPr>
        <w:t>二、技术参数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、适用范围：减少皮下渗血，促进伤口愈合。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、产品装量20ml/瓶，产品为钴-60辐照灭菌。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 xml:space="preserve">、本品由壳聚糖溶液及喷雾器两部分组成；壳聚糖溶液由壳聚糖、乳酸、纯化水等组成，壳聚糖溶液中壳聚糖含量应不小于1.8%；壳聚糖脱乙酰度应≥80%；重金属应≤10ppm，溶液呈淡黄色或者棕黄色液体。PH值4.0~6.0。喷雾器由容器、阀门系统、帽盖组成，同时单独提供可替换加长喷雾导管，按压时能喷出雾状液体，按压喷次不少于120次/瓶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、产品作用：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（1）促进凝血和伤口愈合 、促进组织修复再生；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 xml:space="preserve">（2）减少疤痕形成、抗感染及预防感染；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（3）长效抗菌、止血止痛、促进生物降解；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、作用机理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>（1）物理抗菌不产生耐药性，使用安全；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 xml:space="preserve">（2）附着力强，可长效杀灭和隔离病原微生物；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shd w:val="clear" w:color="auto" w:fill="auto"/>
          <w:lang w:val="en-US" w:eastAsia="zh-CN"/>
        </w:rPr>
        <w:t xml:space="preserve">（3）快速形成护理膜，隔离感染，促进损伤修复和增值乳酸菌作用。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EEA30"/>
    <w:multiLevelType w:val="singleLevel"/>
    <w:tmpl w:val="8D0EEA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B9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2023-01-12T06:37:50Z</dcterms:created>
  <dc:creator>Administrator</dc:creator>
  <cp:lastModifiedBy>^山猫闪电腿^</cp:lastModifiedBy>
  <dcterms:modified xsi:type="dcterms:W3CDTF">2023-01-12T06:37:54Z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40DB38FBC8F8458EA689E82BB73A6107</vt:lpwstr>
  </property>
</Properties>
</file>