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皮肤电极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1、由院方指定的配送企业按计划分批次进行配送（配送费率4.87%）。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2、按院方实际需求分批次供货，每次供货期≤3个日历日；具有24小时应急服务，特殊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情况下需2小时送达。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3、为贯彻落实国家15项医疗保障信息业务编码标准，收费产品所有品规必须对应安徽省27位医保编码。若投标所投产品无安徽省27位医保编码，只有国家20位医保编码，须在投标文件中承诺入选后尽快按照招标人要求申报安徽省27位医保编码，未按照招标人要求进行申报的招标人有权取消其入选资格。（提供承诺函并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*4、须提供样品。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功能及适用范围：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*1.1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注册证适用范围：适用于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试敏药物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经皮渗透导入。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</w:rPr>
        <w:t>基本参数：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2.1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定时时间：5min，允差为±10%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2.2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工作频率：100Hz，误差±15%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2.3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该产品的输出无任何直流分量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2.4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脉冲最大输出幅度：（500Ω±10%负载）≤250V（50mA）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2.5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脉冲宽度：9.8ms 误差±20%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2.6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直流内部电源：直流内部电源d.c.12V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2.7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输入功率：45VA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2.8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主机保险丝规格：F1.0A L250V φ5*20，位于主机“熔断器”位置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2.9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电极头尺寸约为：42mm*25mm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2.10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电池电量指示灯：具备四格电池剩余电量指示灯，可直观看到电池剩余电量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2.11   仪器搭配使用耗材一次性皮肤电极需与仪器为同厂家配套耗材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*2.12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产品注册证明确标明：适用于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</w:rPr>
        <w:t>试敏药物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经皮渗透导入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*2.13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通过《青霉素钠离子人体皮下导入吸收量》UPLC法测定结果，充分表明其试敏药物导入有效性。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firstLine="280" w:firstLineChars="1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2.14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运行时允许的环境条件：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环境温度：10～40℃；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相对湿度范围：30%～75 %；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大气压范围：70kpa~106kpa；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30" w:leftChars="0" w:firstLineChars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</w:rPr>
        <w:t>使用电源：～220V、50HZ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sz w:val="28"/>
          <w:szCs w:val="28"/>
          <w:shd w:val="clear" w:color="auto" w:fill="auto"/>
          <w:lang w:val="en-US" w:eastAsia="zh-CN"/>
        </w:rPr>
        <w:t>备注：标注“*”参数为实质性参数，必须满足；否则，投标无效。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E34C9"/>
    <w:multiLevelType w:val="singleLevel"/>
    <w:tmpl w:val="5A4E34C9"/>
    <w:lvl w:ilvl="0" w:tentative="0">
      <w:start w:val="1"/>
      <w:numFmt w:val="lowerLetter"/>
      <w:suff w:val="nothing"/>
      <w:lvlText w:val="%1）"/>
      <w:lvlJc w:val="left"/>
      <w:pPr>
        <w:ind w:left="63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18A50083"/>
    <w:rsid w:val="5FB8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775</Characters>
  <Lines>0</Lines>
  <Paragraphs>0</Paragraphs>
  <TotalTime>0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2023-01-12T03:30:00Z</dcterms:created>
  <dc:creator>Administrator</dc:creator>
  <cp:lastModifiedBy>^山猫闪电腿^</cp:lastModifiedBy>
  <dcterms:modified xsi:type="dcterms:W3CDTF">2023-01-13T02:54:30Z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B2E8C212207A433AB4B68F389C21FD38</vt:lpwstr>
  </property>
</Properties>
</file>