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9E" w:rsidRDefault="00172C9E" w:rsidP="00172C9E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0-6</w:t>
      </w:r>
      <w:r>
        <w:rPr>
          <w:rFonts w:hint="eastAsia"/>
          <w:b/>
          <w:bCs/>
          <w:sz w:val="36"/>
          <w:szCs w:val="36"/>
        </w:rPr>
        <w:t>岁儿童健康智慧管理系统（参数）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>
        <w:rPr>
          <w:rStyle w:val="a5"/>
          <w:rFonts w:ascii="微软雅黑" w:eastAsia="微软雅黑" w:hAnsi="微软雅黑" w:cs="微软雅黑" w:hint="eastAsia"/>
          <w:color w:val="333333"/>
          <w:sz w:val="22"/>
          <w:szCs w:val="22"/>
        </w:rPr>
        <w:t>产品商品名称：0-6岁</w:t>
      </w:r>
      <w:r>
        <w:rPr>
          <w:rFonts w:ascii="宋体" w:hAnsi="宋体" w:hint="eastAsia"/>
          <w:b/>
          <w:bCs/>
          <w:sz w:val="24"/>
        </w:rPr>
        <w:t>儿童健康管理系统（医院版）  数量：1套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二、符合国家相关规定，具有：著作权证书等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2"/>
          <w:szCs w:val="22"/>
        </w:rPr>
        <w:t>三、★</w:t>
      </w:r>
      <w:r>
        <w:rPr>
          <w:rFonts w:ascii="宋体" w:hAnsi="宋体" w:hint="eastAsia"/>
          <w:b/>
          <w:bCs/>
          <w:sz w:val="24"/>
        </w:rPr>
        <w:t>系统组成：该系统由0-6岁儿童常规健康保健、配套系统使用的医生端手机app和家长端手机app、儿童综合素质测试量表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四、具体技术要求：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1、对0-6岁儿童进行常规健康管理，规划为13次，每次体检输出体检记录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2、常规健康管理内容符合《儿童健康检查服务技术规范》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3、支持社会生活能力分析；支持儿童心智发育筛查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4、支持营养膳食、生活疾病、体格发育的详细管理；支持血常规、母乳分析、骨密度等辅助检查项的记录；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5、支持血常规、母乳分析、骨密度等辅助检查项的记录；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宋体" w:hAnsi="宋体" w:hint="eastAsia"/>
          <w:sz w:val="24"/>
        </w:rPr>
        <w:t>支持对高危儿、体弱儿，早产和低体重儿进行专项管理；输出常规、高危儿、体弱儿等专业报告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7、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2"/>
          <w:szCs w:val="22"/>
        </w:rPr>
        <w:t>系统提供发育能力类评定量表、能力类评定量表、行为与症状类评定量表、学习成就类量表、气质与人格评定量表、神经心理与精神类评定量表、儿童情绪发展与社会类评定量表、社会生活适应及应对方式类量表不少于26项，具体量表清单见下页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宋体" w:hAnsi="宋体" w:hint="eastAsia"/>
          <w:sz w:val="24"/>
        </w:rPr>
        <w:t>可输出年报统计、考核统计、患病统计等专项分析报表；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宋体" w:hAnsi="宋体" w:hint="eastAsia"/>
          <w:sz w:val="24"/>
        </w:rPr>
        <w:t>通过儿童健康管理工作站设备运行本系统服务，并允许在科室网络内多终端应用。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宋体" w:hAnsi="宋体" w:hint="eastAsia"/>
          <w:sz w:val="24"/>
        </w:rPr>
        <w:t>通过手机APP执行上述生长测量、社会生活能力、健康问诊、体格检查、辅助检查记录等业务，方便科室人力资源分配。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11、该系统与健康管理移动终端绑定使用。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宋体" w:hAnsi="宋体" w:hint="eastAsia"/>
          <w:sz w:val="24"/>
        </w:rPr>
        <w:t>家长/医生可通过手机APP查询儿童在本院进行体检的报告，包括常规体检报告、高危儿随访报告、体弱儿专管报告，允许查询生长曲线；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宋体" w:hAnsi="宋体" w:hint="eastAsia"/>
          <w:sz w:val="24"/>
        </w:rPr>
        <w:t>提前提醒儿童家庭按照本院体检规划时间进行体检，并可以预约,支持儿童家庭与本院医生进行咨询互动，以解决育儿过程的实际问题。,可以定期推送儿童健康成长相关知识，帮助家庭丰富育儿知识,可以记录儿童生长信息，以形成日常监测记录。</w:t>
      </w: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宋体" w:hAnsi="宋体" w:hint="eastAsia"/>
          <w:sz w:val="24"/>
        </w:rPr>
        <w:t>系统终生免费升级。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15、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</w:rPr>
        <w:t>★</w:t>
      </w:r>
      <w:r>
        <w:rPr>
          <w:rFonts w:ascii="宋体" w:hAnsi="宋体" w:hint="eastAsia"/>
          <w:b/>
          <w:bCs/>
          <w:sz w:val="24"/>
        </w:rPr>
        <w:t>投标方需提供后期国际先进儿童保健专科建设技术咨询服务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量表详细清单</w:t>
      </w:r>
    </w:p>
    <w:tbl>
      <w:tblPr>
        <w:tblStyle w:val="a6"/>
        <w:tblW w:w="8666" w:type="dxa"/>
        <w:jc w:val="center"/>
        <w:tblLayout w:type="fixed"/>
        <w:tblLook w:val="04A0"/>
      </w:tblPr>
      <w:tblGrid>
        <w:gridCol w:w="1139"/>
        <w:gridCol w:w="3836"/>
        <w:gridCol w:w="3691"/>
      </w:tblGrid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836" w:type="dxa"/>
            <w:vAlign w:val="center"/>
          </w:tcPr>
          <w:p w:rsidR="00172C9E" w:rsidRDefault="00172C9E" w:rsidP="004376AF">
            <w:pPr>
              <w:spacing w:line="480" w:lineRule="auto"/>
              <w:ind w:firstLineChars="800" w:firstLine="16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量表名称</w:t>
            </w: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包含内容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836" w:type="dxa"/>
            <w:vMerge w:val="restart"/>
            <w:vAlign w:val="center"/>
          </w:tcPr>
          <w:p w:rsidR="00172C9E" w:rsidRDefault="00172C9E" w:rsidP="004376AF">
            <w:pPr>
              <w:spacing w:line="480" w:lineRule="auto"/>
              <w:ind w:firstLineChars="300" w:firstLine="6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发育能力类评定量表</w:t>
            </w: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DDST测评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儿心量表测评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贝利婴幼儿发展量表-智力量表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贝利婴幼儿发展量表-运动量表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儿童感觉统合评定发展量表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瑞文智力测验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Gesell量表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836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能力类评定量表</w:t>
            </w: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神经运动筛查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836" w:type="dxa"/>
            <w:vMerge w:val="restart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孤独症谱系障碍筛查诊断量表</w:t>
            </w: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孤独症量表（M-Chat）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孤独症ABC测评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孤独症CABS测评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孤独症CARS测评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3836" w:type="dxa"/>
            <w:vMerge w:val="restart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行为与症状类评定量表</w:t>
            </w: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ADHD父母问卷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ADHD教师问卷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Conners家长问卷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Conners教师问卷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2-3岁儿童行为量表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4-16岁儿童行为量表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3836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学习成就类量表</w:t>
            </w: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儿童学习障碍筛查量表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836" w:type="dxa"/>
            <w:vMerge w:val="restart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气质与人格评定量表</w:t>
            </w: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中国4-8个月婴儿气质量表（CITS）</w:t>
            </w:r>
          </w:p>
        </w:tc>
      </w:tr>
      <w:tr w:rsidR="00172C9E" w:rsidTr="004376AF">
        <w:trPr>
          <w:trHeight w:val="73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中国1-3岁幼儿气质量表（CTTS）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中国学龄前3-7岁儿童气质量表（CPTS）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艾森克个性问卷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3836" w:type="dxa"/>
            <w:vMerge w:val="restart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社会与家庭养育及其他类评定量表</w:t>
            </w: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家庭养育环境0-1岁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家庭养育环境1-3岁</w:t>
            </w:r>
          </w:p>
        </w:tc>
      </w:tr>
      <w:tr w:rsidR="00172C9E" w:rsidTr="004376AF">
        <w:trPr>
          <w:trHeight w:val="567"/>
          <w:jc w:val="center"/>
        </w:trPr>
        <w:tc>
          <w:tcPr>
            <w:tcW w:w="1139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3836" w:type="dxa"/>
            <w:vMerge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172C9E" w:rsidRDefault="00172C9E" w:rsidP="004376A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家庭养育环境3-6岁</w:t>
            </w:r>
          </w:p>
        </w:tc>
      </w:tr>
    </w:tbl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</w:p>
    <w:p w:rsidR="00172C9E" w:rsidRDefault="00172C9E" w:rsidP="00172C9E">
      <w:pPr>
        <w:widowControl/>
        <w:numPr>
          <w:ilvl w:val="0"/>
          <w:numId w:val="1"/>
        </w:numPr>
        <w:jc w:val="left"/>
        <w:rPr>
          <w:rStyle w:val="a5"/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2"/>
          <w:szCs w:val="22"/>
        </w:rPr>
        <w:t>性能特点：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5.1、儿童健康测评与管理系统（测评系统）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该系统依据WHO《儿童健康管理规范》、卫计委《儿童健康&lt;工作规范&gt;》、《儿童健康&lt;技术规范&gt;》等一系列专业规范，帮助医疗机构建立规范的儿童健康管理“查-评-管”工作体系和流程，提升工作效率，为儿童家庭提供更可信赖的专业服务。系统主要包括以下功能：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（01）对0-6岁儿童进行常规健康管理；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（02）支持社会生活能力的过程辅助和结果分析；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（03）支持儿童心智发育的DDST筛查和儿心量表诊断过程；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（04）支持营养膳食、生活疾病、体格发育的详细管理；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（05）支持血常规、母乳分析、骨密度等辅助检查项的记录；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（06）支持对高危儿、体弱儿进行专项管理；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（07）输出常规体检、高危儿、体弱儿、心智等专业报告；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（08）可输出年报统计、考核统计、患病统计等专项分析报表；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（09）每名纳入系统管理的儿童通过卡融合形式和就诊卡通用；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（10）针对非诊断性的检查内容，提供移动终端，手持使用，适用于移动检测的场合，并可以有效调节医生、护士工作量的比例；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 xml:space="preserve">    （10）系统持续更新，追加专科建设内容支撑、技术标准更新；</w:t>
      </w:r>
      <w:r>
        <w:rPr>
          <w:rFonts w:ascii="宋体" w:hAnsi="宋体" w:hint="eastAsia"/>
          <w:b/>
          <w:bCs/>
          <w:sz w:val="24"/>
        </w:rPr>
        <w:t xml:space="preserve">  </w:t>
      </w:r>
    </w:p>
    <w:p w:rsidR="00172C9E" w:rsidRDefault="00172C9E" w:rsidP="00172C9E">
      <w:pPr>
        <w:spacing w:line="48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5.2、由家庭使用的手机APP（APP）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对于在医疗机构中已列入“儿童健康测评与管理系统”服务对象的儿童家庭，通过手机APP，形成与医疗机构的有效互动：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（01）允许查询儿童在本院进行体检的报告，包括常规体检报告、高危儿随访报告、体弱儿专管报告，心智发育报告、生长曲线，等等。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（02）对于体检报告中医生诊断的问题项，提供进一步的解读和干预建议，帮助家长建立完善的知识体系；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（03）结合儿童特征（月龄、病灶等），定期推送与儿童本人直接相关的健康成长知识，帮助家庭丰富育儿知识。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（04）支持儿童家庭与本院医生进行咨询互动，以解决育儿过程的实际困扰，</w:t>
      </w:r>
      <w:r>
        <w:rPr>
          <w:rFonts w:ascii="宋体" w:hAnsi="宋体" w:hint="eastAsia"/>
          <w:sz w:val="24"/>
        </w:rPr>
        <w:lastRenderedPageBreak/>
        <w:t>并可以查询其他家庭已经问过的同类问题，减少医生工作量。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（05）提醒儿童家庭按照本院体检规划时间进行体检，并可以预约，有效调节医院资源。</w:t>
      </w:r>
    </w:p>
    <w:p w:rsidR="00172C9E" w:rsidRDefault="00172C9E" w:rsidP="00172C9E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（06）可以由家庭记录儿童生长信息，以形成日常监测记录。</w:t>
      </w:r>
    </w:p>
    <w:p w:rsidR="00172C9E" w:rsidRDefault="00172C9E" w:rsidP="00172C9E">
      <w:pPr>
        <w:spacing w:line="48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、由</w:t>
      </w:r>
      <w:r>
        <w:rPr>
          <w:rFonts w:ascii="宋体" w:hAnsi="宋体"/>
          <w:b/>
          <w:sz w:val="24"/>
        </w:rPr>
        <w:t>医生使用的</w:t>
      </w:r>
      <w:r>
        <w:rPr>
          <w:rFonts w:ascii="宋体" w:hAnsi="宋体" w:hint="eastAsia"/>
          <w:b/>
          <w:sz w:val="24"/>
        </w:rPr>
        <w:t>手机app</w:t>
      </w:r>
    </w:p>
    <w:p w:rsidR="00172C9E" w:rsidRDefault="00172C9E" w:rsidP="00172C9E">
      <w:pPr>
        <w:pStyle w:val="1"/>
        <w:kinsoku w:val="0"/>
        <w:overflowPunct w:val="0"/>
        <w:spacing w:line="480" w:lineRule="auto"/>
        <w:ind w:firstLineChars="300" w:firstLine="720"/>
        <w:textAlignment w:val="baseline"/>
      </w:pPr>
      <w:r>
        <w:rPr>
          <w:rFonts w:hint="eastAsia"/>
        </w:rPr>
        <w:t>家长</w:t>
      </w:r>
      <w:r>
        <w:t>所提问题线上解答，增强</w:t>
      </w:r>
      <w:r>
        <w:rPr>
          <w:rFonts w:hint="eastAsia"/>
        </w:rPr>
        <w:t>互动性</w:t>
      </w:r>
    </w:p>
    <w:p w:rsidR="00172C9E" w:rsidRDefault="00172C9E" w:rsidP="00172C9E">
      <w:pPr>
        <w:spacing w:line="480" w:lineRule="auto"/>
        <w:ind w:firstLine="435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（1）医院建档页面示意如下：</w:t>
      </w:r>
    </w:p>
    <w:p w:rsidR="00172C9E" w:rsidRDefault="00172C9E" w:rsidP="00172C9E">
      <w:pPr>
        <w:spacing w:line="48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4133215" cy="3628390"/>
            <wp:effectExtent l="0" t="0" r="635" b="10160"/>
            <wp:docPr id="25" name="图片 1" descr="QQ图片2017122810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122810450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9E" w:rsidRDefault="00172C9E" w:rsidP="00172C9E">
      <w:pPr>
        <w:spacing w:line="480" w:lineRule="auto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 xml:space="preserve">  （2）医院查-评-管流程运行示意如下：</w:t>
      </w:r>
    </w:p>
    <w:p w:rsidR="00172C9E" w:rsidRDefault="00172C9E" w:rsidP="00172C9E">
      <w:pPr>
        <w:spacing w:line="480" w:lineRule="auto"/>
        <w:rPr>
          <w:rFonts w:ascii="宋体" w:hAnsi="宋体" w:cs="微软雅黑"/>
          <w:sz w:val="24"/>
        </w:rPr>
      </w:pPr>
      <w:r w:rsidRPr="00A16D75">
        <w:rPr>
          <w:rFonts w:ascii="宋体" w:hAnsi="宋体"/>
          <w:sz w:val="24"/>
        </w:rPr>
        <w:object w:dxaOrig="19063" w:dyaOrig="6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15pt;height:135.85pt" o:ole="">
            <v:imagedata r:id="rId8" o:title=""/>
            <o:lock v:ext="edit" aspectratio="f"/>
          </v:shape>
          <o:OLEObject Type="Embed" ProgID="PBrush" ShapeID="_x0000_i1025" DrawAspect="Content" ObjectID="_1577009305" r:id="rId9"/>
        </w:object>
      </w:r>
      <w:r>
        <w:rPr>
          <w:rFonts w:ascii="宋体" w:hAnsi="宋体" w:cs="微软雅黑" w:hint="eastAsia"/>
          <w:sz w:val="24"/>
        </w:rPr>
        <w:t xml:space="preserve">  （3）可提供医学报告单示意如下：  </w:t>
      </w:r>
    </w:p>
    <w:p w:rsidR="00172C9E" w:rsidRDefault="00172C9E" w:rsidP="00172C9E">
      <w:pPr>
        <w:spacing w:line="480" w:lineRule="auto"/>
        <w:jc w:val="center"/>
        <w:rPr>
          <w:rFonts w:ascii="宋体" w:hAnsi="宋体" w:cs="微软雅黑"/>
          <w:b/>
          <w:bCs/>
          <w:sz w:val="24"/>
        </w:rPr>
      </w:pPr>
      <w:r>
        <w:rPr>
          <w:rFonts w:ascii="宋体" w:hAnsi="宋体" w:cs="微软雅黑" w:hint="eastAsia"/>
          <w:b/>
          <w:bCs/>
          <w:sz w:val="24"/>
        </w:rPr>
        <w:t>健康测评管理报告单</w:t>
      </w:r>
    </w:p>
    <w:p w:rsidR="00172C9E" w:rsidRDefault="00172C9E" w:rsidP="00172C9E">
      <w:pPr>
        <w:spacing w:line="480" w:lineRule="auto"/>
        <w:jc w:val="center"/>
        <w:rPr>
          <w:rFonts w:ascii="宋体" w:hAnsi="宋体" w:cs="微软雅黑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5274310" cy="5831840"/>
            <wp:effectExtent l="0" t="0" r="2540" b="16510"/>
            <wp:docPr id="26" name="图片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9E" w:rsidRDefault="00172C9E" w:rsidP="00172C9E">
      <w:pPr>
        <w:spacing w:line="480" w:lineRule="auto"/>
        <w:rPr>
          <w:rFonts w:ascii="宋体" w:hAnsi="宋体" w:cs="微软雅黑" w:hint="eastAsia"/>
          <w:sz w:val="24"/>
        </w:rPr>
      </w:pPr>
      <w:r>
        <w:rPr>
          <w:rFonts w:ascii="宋体" w:hAnsi="宋体" w:cs="微软雅黑" w:hint="eastAsia"/>
          <w:sz w:val="24"/>
        </w:rPr>
        <w:t xml:space="preserve">          </w:t>
      </w:r>
    </w:p>
    <w:p w:rsidR="00172C9E" w:rsidRDefault="00172C9E" w:rsidP="00172C9E">
      <w:pPr>
        <w:spacing w:line="480" w:lineRule="auto"/>
        <w:rPr>
          <w:rFonts w:ascii="宋体" w:hAnsi="宋体" w:cs="微软雅黑" w:hint="eastAsia"/>
          <w:sz w:val="24"/>
        </w:rPr>
      </w:pPr>
    </w:p>
    <w:p w:rsidR="00172C9E" w:rsidRDefault="00172C9E" w:rsidP="00172C9E">
      <w:pPr>
        <w:spacing w:line="480" w:lineRule="auto"/>
        <w:rPr>
          <w:rFonts w:ascii="宋体" w:hAnsi="宋体" w:cs="微软雅黑" w:hint="eastAsia"/>
          <w:sz w:val="24"/>
        </w:rPr>
      </w:pPr>
    </w:p>
    <w:p w:rsidR="00172C9E" w:rsidRDefault="00172C9E" w:rsidP="00172C9E">
      <w:pPr>
        <w:spacing w:line="480" w:lineRule="auto"/>
        <w:rPr>
          <w:rFonts w:ascii="宋体" w:hAnsi="宋体" w:cs="微软雅黑" w:hint="eastAsia"/>
          <w:sz w:val="24"/>
        </w:rPr>
      </w:pPr>
    </w:p>
    <w:p w:rsidR="00172C9E" w:rsidRDefault="00172C9E" w:rsidP="00172C9E">
      <w:pPr>
        <w:spacing w:line="480" w:lineRule="auto"/>
        <w:rPr>
          <w:rFonts w:ascii="宋体" w:hAnsi="宋体" w:cs="微软雅黑"/>
          <w:sz w:val="24"/>
        </w:rPr>
      </w:pPr>
    </w:p>
    <w:p w:rsidR="00172C9E" w:rsidRDefault="00172C9E" w:rsidP="00172C9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cs="微软雅黑" w:hint="eastAsia"/>
          <w:sz w:val="24"/>
        </w:rPr>
        <w:lastRenderedPageBreak/>
        <w:t xml:space="preserve">  </w:t>
      </w:r>
      <w:r>
        <w:rPr>
          <w:rFonts w:ascii="宋体" w:hAnsi="宋体" w:cs="微软雅黑" w:hint="eastAsia"/>
          <w:b/>
          <w:bCs/>
          <w:sz w:val="24"/>
        </w:rPr>
        <w:t>体重曲线图</w:t>
      </w:r>
      <w:r>
        <w:rPr>
          <w:rFonts w:ascii="宋体" w:hAnsi="宋体" w:cs="微软雅黑" w:hint="eastAsia"/>
          <w:b/>
          <w:bCs/>
          <w:sz w:val="24"/>
        </w:rPr>
        <w:tab/>
      </w:r>
      <w:r>
        <w:rPr>
          <w:rFonts w:ascii="宋体" w:hAnsi="宋体" w:cs="微软雅黑" w:hint="eastAsia"/>
          <w:sz w:val="24"/>
        </w:rPr>
        <w:tab/>
      </w:r>
      <w:r>
        <w:rPr>
          <w:rFonts w:ascii="宋体" w:hAnsi="宋体" w:cs="微软雅黑" w:hint="eastAsia"/>
          <w:sz w:val="24"/>
        </w:rPr>
        <w:tab/>
      </w:r>
      <w:r>
        <w:rPr>
          <w:rFonts w:ascii="宋体" w:hAnsi="宋体" w:cs="微软雅黑" w:hint="eastAsia"/>
          <w:sz w:val="24"/>
        </w:rPr>
        <w:tab/>
      </w:r>
      <w:r>
        <w:rPr>
          <w:rFonts w:ascii="宋体" w:hAnsi="宋体" w:cs="微软雅黑" w:hint="eastAsia"/>
          <w:sz w:val="24"/>
        </w:rPr>
        <w:tab/>
      </w:r>
      <w:r>
        <w:rPr>
          <w:rFonts w:ascii="宋体" w:hAnsi="宋体" w:cs="微软雅黑" w:hint="eastAsia"/>
          <w:sz w:val="24"/>
        </w:rPr>
        <w:tab/>
      </w:r>
      <w:r>
        <w:rPr>
          <w:rFonts w:ascii="宋体" w:hAnsi="宋体" w:cs="微软雅黑" w:hint="eastAsia"/>
          <w:sz w:val="24"/>
        </w:rPr>
        <w:tab/>
        <w:t xml:space="preserve">  </w:t>
      </w:r>
      <w:r>
        <w:rPr>
          <w:rFonts w:ascii="宋体" w:hAnsi="宋体" w:cs="微软雅黑" w:hint="eastAsia"/>
          <w:b/>
          <w:bCs/>
          <w:sz w:val="24"/>
        </w:rPr>
        <w:t>身高曲线图</w:t>
      </w:r>
    </w:p>
    <w:p w:rsidR="00172C9E" w:rsidRDefault="00172C9E" w:rsidP="00172C9E">
      <w:pPr>
        <w:spacing w:line="480" w:lineRule="auto"/>
        <w:jc w:val="center"/>
        <w:rPr>
          <w:rFonts w:ascii="宋体" w:hAnsi="宋体" w:hint="eastAsia"/>
          <w:sz w:val="24"/>
        </w:rPr>
      </w:pPr>
      <w:r w:rsidRPr="00A16D75">
        <w:rPr>
          <w:rFonts w:ascii="宋体" w:hAnsi="宋体"/>
          <w:sz w:val="24"/>
        </w:rPr>
        <w:object w:dxaOrig="13123" w:dyaOrig="7214">
          <v:shape id="_x0000_i1026" type="#_x0000_t75" style="width:190.2pt;height:126.35pt" o:ole="">
            <v:imagedata r:id="rId11" o:title=""/>
            <o:lock v:ext="edit" aspectratio="f"/>
          </v:shape>
          <o:OLEObject Type="Embed" ProgID="PBrush" ShapeID="_x0000_i1026" DrawAspect="Content" ObjectID="_1577009306" r:id="rId12"/>
        </w:object>
      </w:r>
      <w:r>
        <w:rPr>
          <w:rFonts w:ascii="宋体" w:hAnsi="宋体" w:hint="eastAsia"/>
          <w:sz w:val="24"/>
        </w:rPr>
        <w:t xml:space="preserve">    </w:t>
      </w:r>
      <w:r w:rsidRPr="00A16D75">
        <w:rPr>
          <w:rFonts w:ascii="宋体" w:hAnsi="宋体"/>
          <w:sz w:val="24"/>
        </w:rPr>
        <w:object w:dxaOrig="13153" w:dyaOrig="6706">
          <v:shape id="_x0000_i1027" type="#_x0000_t75" style="width:196.3pt;height:127.7pt" o:ole="">
            <v:imagedata r:id="rId13" o:title=""/>
            <o:lock v:ext="edit" aspectratio="f"/>
          </v:shape>
          <o:OLEObject Type="Embed" ProgID="PBrush" ShapeID="_x0000_i1027" DrawAspect="Content" ObjectID="_1577009307" r:id="rId14"/>
        </w:object>
      </w:r>
    </w:p>
    <w:p w:rsidR="00172C9E" w:rsidRDefault="00172C9E" w:rsidP="00172C9E">
      <w:pPr>
        <w:spacing w:line="480" w:lineRule="auto"/>
        <w:jc w:val="center"/>
        <w:rPr>
          <w:rFonts w:ascii="宋体" w:hAnsi="宋体" w:hint="eastAsia"/>
          <w:sz w:val="24"/>
        </w:rPr>
      </w:pPr>
    </w:p>
    <w:p w:rsidR="00172C9E" w:rsidRDefault="00172C9E" w:rsidP="00172C9E">
      <w:pPr>
        <w:spacing w:line="480" w:lineRule="auto"/>
        <w:jc w:val="center"/>
        <w:rPr>
          <w:rFonts w:ascii="宋体" w:hAnsi="宋体" w:cs="微软雅黑"/>
          <w:sz w:val="24"/>
        </w:rPr>
      </w:pPr>
    </w:p>
    <w:p w:rsidR="00172C9E" w:rsidRDefault="00172C9E" w:rsidP="00172C9E">
      <w:pPr>
        <w:spacing w:line="480" w:lineRule="auto"/>
        <w:jc w:val="center"/>
        <w:rPr>
          <w:rFonts w:ascii="宋体" w:hAnsi="宋体" w:cs="微软雅黑"/>
          <w:b/>
          <w:bCs/>
          <w:sz w:val="24"/>
        </w:rPr>
      </w:pPr>
      <w:r>
        <w:rPr>
          <w:rFonts w:ascii="宋体" w:hAnsi="宋体" w:cs="微软雅黑" w:hint="eastAsia"/>
          <w:b/>
          <w:bCs/>
          <w:sz w:val="24"/>
        </w:rPr>
        <w:t>高危儿报告</w:t>
      </w:r>
    </w:p>
    <w:p w:rsidR="00172C9E" w:rsidRDefault="00172C9E" w:rsidP="00172C9E">
      <w:pPr>
        <w:spacing w:line="480" w:lineRule="auto"/>
        <w:rPr>
          <w:rFonts w:ascii="宋体" w:hAnsi="宋体" w:cs="微软雅黑" w:hint="eastAsia"/>
          <w:b/>
          <w:bCs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5268595" cy="4091940"/>
            <wp:effectExtent l="0" t="0" r="8255" b="3810"/>
            <wp:docPr id="27" name="图片 3" descr="QQ图片2017122810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122810542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9E" w:rsidRDefault="00172C9E" w:rsidP="00172C9E">
      <w:pPr>
        <w:spacing w:line="480" w:lineRule="auto"/>
        <w:rPr>
          <w:rFonts w:ascii="宋体" w:hAnsi="宋体" w:cs="微软雅黑" w:hint="eastAsia"/>
          <w:b/>
          <w:bCs/>
          <w:sz w:val="24"/>
        </w:rPr>
      </w:pPr>
    </w:p>
    <w:p w:rsidR="00172C9E" w:rsidRDefault="00172C9E" w:rsidP="00172C9E">
      <w:pPr>
        <w:spacing w:line="480" w:lineRule="auto"/>
        <w:rPr>
          <w:rFonts w:ascii="宋体" w:hAnsi="宋体" w:cs="微软雅黑" w:hint="eastAsia"/>
          <w:b/>
          <w:bCs/>
          <w:sz w:val="24"/>
        </w:rPr>
      </w:pPr>
    </w:p>
    <w:p w:rsidR="00172C9E" w:rsidRDefault="00172C9E" w:rsidP="00172C9E">
      <w:pPr>
        <w:spacing w:line="480" w:lineRule="auto"/>
        <w:rPr>
          <w:rFonts w:ascii="宋体" w:hAnsi="宋体" w:cs="微软雅黑" w:hint="eastAsia"/>
          <w:b/>
          <w:bCs/>
          <w:sz w:val="24"/>
        </w:rPr>
      </w:pPr>
    </w:p>
    <w:p w:rsidR="00172C9E" w:rsidRDefault="00172C9E" w:rsidP="00172C9E">
      <w:pPr>
        <w:spacing w:line="480" w:lineRule="auto"/>
        <w:rPr>
          <w:rFonts w:ascii="宋体" w:hAnsi="宋体" w:cs="微软雅黑" w:hint="eastAsia"/>
          <w:b/>
          <w:bCs/>
          <w:sz w:val="24"/>
        </w:rPr>
      </w:pPr>
    </w:p>
    <w:p w:rsidR="00172C9E" w:rsidRDefault="00172C9E" w:rsidP="00172C9E">
      <w:pPr>
        <w:spacing w:line="480" w:lineRule="auto"/>
        <w:rPr>
          <w:rFonts w:ascii="宋体" w:hAnsi="宋体" w:cs="微软雅黑" w:hint="eastAsia"/>
          <w:b/>
          <w:bCs/>
          <w:sz w:val="24"/>
        </w:rPr>
      </w:pPr>
    </w:p>
    <w:p w:rsidR="00172C9E" w:rsidRDefault="00172C9E" w:rsidP="00172C9E">
      <w:pPr>
        <w:spacing w:line="480" w:lineRule="auto"/>
        <w:jc w:val="center"/>
        <w:rPr>
          <w:rFonts w:ascii="宋体" w:hAnsi="宋体" w:cs="微软雅黑"/>
          <w:b/>
          <w:bCs/>
          <w:sz w:val="24"/>
        </w:rPr>
      </w:pPr>
      <w:r>
        <w:rPr>
          <w:rFonts w:ascii="宋体" w:hAnsi="宋体" w:cs="微软雅黑" w:hint="eastAsia"/>
          <w:b/>
          <w:bCs/>
          <w:sz w:val="24"/>
        </w:rPr>
        <w:t>体弱儿报告</w:t>
      </w:r>
    </w:p>
    <w:p w:rsidR="00172C9E" w:rsidRDefault="00172C9E" w:rsidP="00172C9E">
      <w:pPr>
        <w:spacing w:line="480" w:lineRule="auto"/>
        <w:rPr>
          <w:rFonts w:ascii="宋体" w:hAnsi="宋体" w:cs="微软雅黑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5271770" cy="2450465"/>
            <wp:effectExtent l="0" t="0" r="5080" b="6985"/>
            <wp:docPr id="28" name="图片 2" descr="体弱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体弱儿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微软雅黑" w:hint="eastAsia"/>
          <w:sz w:val="24"/>
        </w:rPr>
        <w:t xml:space="preserve"> </w:t>
      </w:r>
    </w:p>
    <w:p w:rsidR="00172C9E" w:rsidRDefault="00172C9E" w:rsidP="00172C9E"/>
    <w:tbl>
      <w:tblPr>
        <w:tblpPr w:leftFromText="180" w:rightFromText="180" w:vertAnchor="text" w:horzAnchor="page" w:tblpX="1442" w:tblpY="69"/>
        <w:tblOverlap w:val="never"/>
        <w:tblW w:w="10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1037"/>
        <w:gridCol w:w="6204"/>
        <w:gridCol w:w="1421"/>
      </w:tblGrid>
      <w:tr w:rsidR="00172C9E" w:rsidTr="004376AF">
        <w:trPr>
          <w:trHeight w:val="645"/>
        </w:trPr>
        <w:tc>
          <w:tcPr>
            <w:tcW w:w="905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机构内服务器配置要求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服务器要求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Intel 酷睿 G4560或i3酷睿双核处理器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4G及以上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Raid控制器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支持Raid1磁盘阵列，双硬盘数据备份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7200转企业级SATA硬盘，500G，2块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操作系统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建议Windows Server2012（64位）或64位Windows7(专业版、旗舰版)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参考机型一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联想TS250塔式服务器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参考机型二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浪潮英信NP3020M3、NP3020M4 塔式服务器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网络要求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服务器网络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能够访问互联网，或者开放特定端口能够访问06公司中心服务器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客户端网络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能够访问本医院内的06系统服务器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4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WIFI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9E" w:rsidRDefault="00172C9E" w:rsidP="004376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能够访问本医院内的06系统服务器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2C9E" w:rsidTr="004376AF">
        <w:trPr>
          <w:trHeight w:val="271"/>
        </w:trPr>
        <w:tc>
          <w:tcPr>
            <w:tcW w:w="1813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172C9E" w:rsidRDefault="00172C9E" w:rsidP="004376A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86594" w:rsidRPr="00172C9E" w:rsidRDefault="00286594"/>
    <w:sectPr w:rsidR="00286594" w:rsidRPr="0017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94" w:rsidRDefault="00286594" w:rsidP="00172C9E">
      <w:r>
        <w:separator/>
      </w:r>
    </w:p>
  </w:endnote>
  <w:endnote w:type="continuationSeparator" w:id="1">
    <w:p w:rsidR="00286594" w:rsidRDefault="00286594" w:rsidP="0017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94" w:rsidRDefault="00286594" w:rsidP="00172C9E">
      <w:r>
        <w:separator/>
      </w:r>
    </w:p>
  </w:footnote>
  <w:footnote w:type="continuationSeparator" w:id="1">
    <w:p w:rsidR="00286594" w:rsidRDefault="00286594" w:rsidP="00172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A54B"/>
    <w:multiLevelType w:val="singleLevel"/>
    <w:tmpl w:val="5A43A54B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C9E"/>
    <w:rsid w:val="00172C9E"/>
    <w:rsid w:val="0028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C9E"/>
    <w:rPr>
      <w:sz w:val="18"/>
      <w:szCs w:val="18"/>
    </w:rPr>
  </w:style>
  <w:style w:type="character" w:styleId="a5">
    <w:name w:val="Strong"/>
    <w:basedOn w:val="a0"/>
    <w:qFormat/>
    <w:rsid w:val="00172C9E"/>
    <w:rPr>
      <w:b/>
    </w:rPr>
  </w:style>
  <w:style w:type="table" w:styleId="a6">
    <w:name w:val="Table Grid"/>
    <w:basedOn w:val="a1"/>
    <w:qFormat/>
    <w:rsid w:val="00172C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172C9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172C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2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2018-01-09T05:20:00Z</dcterms:created>
  <dcterms:modified xsi:type="dcterms:W3CDTF">2018-01-09T05:22:00Z</dcterms:modified>
</cp:coreProperties>
</file>