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阴道扩张器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1、具体采购数量由招标人中标配送企业按计划分批次进行采购（配送费4.87%）。招标人有权按实际需要调整采购量，但原则上采购数量不超过招标数量。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2、本次招标合同期为2年。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3、供货期≤3个日历日；具有24小时应急服务，特殊情况下需2小时送达。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*4、</w:t>
      </w:r>
      <w:r>
        <w:rPr>
          <w:rFonts w:hint="eastAsia"/>
          <w:sz w:val="28"/>
          <w:szCs w:val="28"/>
          <w:lang w:val="en-US" w:eastAsia="zh-CN"/>
        </w:rPr>
        <w:t>为贯彻落实国家15项医疗保障信息业务编码标准，收费产品所有品规必须对应安徽省27位医保编码。若投标所投产品无安徽省27位医保编码，只有国家20位医保编码，须在投标文件中承诺入选后尽快按照招标人要求申报安徽省27位医保编码，未按照招标人要求进行申报的招标人有权取消其入选资格。提供承诺函，格式自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*5、</w:t>
      </w:r>
      <w:r>
        <w:rPr>
          <w:rFonts w:hint="eastAsia"/>
          <w:sz w:val="28"/>
          <w:szCs w:val="28"/>
          <w:lang w:val="en-US" w:eastAsia="zh-CN"/>
        </w:rPr>
        <w:t>如遇政策性的带量采购、集中配送、两票制等政策变化，需要按照政策要求执行。中标单位需能开具一般纳税人增值税发票。提供承诺函，格式自拟。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技术参数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1.结构组成：上叶、下叶和手柄组成，采用聚丙烯原料；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2.扩张器的长度为≥98mm（±2mm），最大档位45mm（±5mm），扩张器使用时，各档位调节、扩张应灵活，不应有卡阻现象。扩张器上、下叶受力时，各使用档位应稳固，不应自然退滑，产品无菌。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3.规格型号：轴转式、各规格；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.无菌。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备注：“*”标属于实质性参数，不满足属于无效投标。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6B0E3"/>
    <w:multiLevelType w:val="singleLevel"/>
    <w:tmpl w:val="09F6B0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30C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2022-09-06T00:35:31Z</dcterms:created>
  <dc:creator>Administrator</dc:creator>
  <cp:lastModifiedBy>^山猫闪电腿^</cp:lastModifiedBy>
  <dcterms:modified xsi:type="dcterms:W3CDTF">2022-09-06T00:35:43Z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83598862B74242CE928C60FF8DC76DA9</vt:lpwstr>
  </property>
</Properties>
</file>